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D987" w14:textId="136A15FA" w:rsidR="49C5B812" w:rsidRDefault="49C5B812" w:rsidP="49C5B812">
      <w:pPr>
        <w:spacing w:after="0"/>
        <w:jc w:val="center"/>
        <w:rPr>
          <w:rFonts w:ascii="EuAlbertina" w:eastAsia="EuAlbertina" w:hAnsi="EuAlbertina" w:cs="EuAlbertina"/>
          <w:b/>
          <w:bCs/>
          <w:color w:val="000000" w:themeColor="text1"/>
          <w:sz w:val="32"/>
          <w:szCs w:val="32"/>
        </w:rPr>
      </w:pPr>
    </w:p>
    <w:p w14:paraId="03C7A38B" w14:textId="582089E3" w:rsidR="00F3562B" w:rsidRDefault="002B3C0C" w:rsidP="49C5B812">
      <w:pPr>
        <w:spacing w:after="0"/>
        <w:jc w:val="center"/>
        <w:rPr>
          <w:rFonts w:ascii="EuAlbertina" w:eastAsia="EuAlbertina" w:hAnsi="EuAlbertina" w:cs="EuAlbertina"/>
          <w:b/>
          <w:bCs/>
          <w:color w:val="000000"/>
          <w:sz w:val="32"/>
          <w:szCs w:val="32"/>
        </w:rPr>
      </w:pPr>
      <w:r w:rsidRPr="49C5B812">
        <w:rPr>
          <w:rFonts w:ascii="EuAlbertina" w:eastAsia="EuAlbertina" w:hAnsi="EuAlbertina" w:cs="EuAlbertina"/>
          <w:b/>
          <w:bCs/>
          <w:color w:val="000000" w:themeColor="text1"/>
          <w:sz w:val="32"/>
          <w:szCs w:val="32"/>
        </w:rPr>
        <w:t>Product information sheet</w:t>
      </w:r>
    </w:p>
    <w:p w14:paraId="1CD9C5DE" w14:textId="77777777" w:rsidR="00F3562B" w:rsidRDefault="002B3C0C">
      <w:pPr>
        <w:spacing w:after="60"/>
        <w:jc w:val="center"/>
        <w:rPr>
          <w:rFonts w:ascii="EuAlbertina" w:eastAsia="EuAlbertina" w:hAnsi="EuAlbertina" w:cs="EuAlbertina"/>
          <w:i/>
          <w:color w:val="000000"/>
          <w:sz w:val="20"/>
          <w:szCs w:val="20"/>
        </w:rPr>
      </w:pPr>
      <w:r>
        <w:rPr>
          <w:rFonts w:ascii="EuAlbertina" w:eastAsia="EuAlbertina" w:hAnsi="EuAlbertina" w:cs="EuAlbertina"/>
          <w:i/>
          <w:color w:val="000000"/>
          <w:sz w:val="20"/>
          <w:szCs w:val="20"/>
        </w:rPr>
        <w:t>ANNEX V Table 8</w:t>
      </w:r>
    </w:p>
    <w:p w14:paraId="69889C3B" w14:textId="77777777" w:rsidR="00F3562B" w:rsidRDefault="002B3C0C">
      <w:pPr>
        <w:rPr>
          <w:rFonts w:ascii="EuAlbertina" w:eastAsia="EuAlbertina" w:hAnsi="EuAlbertina" w:cs="EuAlbertina"/>
        </w:rPr>
      </w:pPr>
      <w:r>
        <w:rPr>
          <w:rFonts w:ascii="EuAlbertina" w:eastAsia="EuAlbertina" w:hAnsi="EuAlbertina" w:cs="EuAlbertina"/>
          <w:color w:val="000000"/>
          <w:sz w:val="20"/>
          <w:szCs w:val="20"/>
        </w:rPr>
        <w:t>Pursuant to Article 3(1), point (b), the supplier shall enter into the product database</w:t>
      </w:r>
      <w:r>
        <w:rPr>
          <w:rFonts w:ascii="EuAlbertina" w:eastAsia="EuAlbertina" w:hAnsi="EuAlbertina" w:cs="EuAlbertina"/>
          <w:color w:val="000000"/>
          <w:sz w:val="24"/>
          <w:szCs w:val="24"/>
          <w:vertAlign w:val="superscript"/>
        </w:rPr>
        <w:t>[1]</w:t>
      </w:r>
      <w:r>
        <w:rPr>
          <w:rFonts w:ascii="EuAlbertina" w:eastAsia="EuAlbertina" w:hAnsi="EuAlbertina" w:cs="EuAlbertina"/>
          <w:color w:val="000000"/>
          <w:sz w:val="20"/>
          <w:szCs w:val="20"/>
        </w:rPr>
        <w:t xml:space="preserve"> the information as set out in Table 8.</w:t>
      </w:r>
    </w:p>
    <w:p w14:paraId="38DE6152" w14:textId="77777777" w:rsidR="00F3562B" w:rsidRDefault="002B3C0C">
      <w:pPr>
        <w:rPr>
          <w:rFonts w:ascii="EuAlbertina" w:eastAsia="EuAlbertina" w:hAnsi="EuAlbertina" w:cs="EuAlbertina"/>
          <w:color w:val="000000"/>
          <w:sz w:val="20"/>
          <w:szCs w:val="20"/>
        </w:rPr>
      </w:pPr>
      <w:r>
        <w:rPr>
          <w:rFonts w:ascii="EuAlbertina" w:eastAsia="EuAlbertina" w:hAnsi="EuAlbertina" w:cs="EuAlbertina"/>
          <w:color w:val="000000"/>
          <w:sz w:val="20"/>
          <w:szCs w:val="20"/>
        </w:rPr>
        <w:t xml:space="preserve">The user manual or other literature provided with the product shall clearly </w:t>
      </w:r>
      <w:r>
        <w:rPr>
          <w:rFonts w:ascii="EuAlbertina" w:eastAsia="EuAlbertina" w:hAnsi="EuAlbertina" w:cs="EuAlbertina"/>
          <w:color w:val="000000"/>
          <w:sz w:val="20"/>
          <w:szCs w:val="20"/>
        </w:rPr>
        <w:t>indicate the link to the model in the product database as a human-readable Uniform Resource Locator (URL) or as QR code or by providing the product registration number.</w:t>
      </w:r>
      <w:r>
        <w:rPr>
          <w:rFonts w:ascii="EuAlbertina" w:eastAsia="EuAlbertina" w:hAnsi="EuAlbertina" w:cs="EuAlbertina"/>
        </w:rPr>
        <w:br/>
      </w:r>
    </w:p>
    <w:tbl>
      <w:tblPr>
        <w:tblStyle w:val="a"/>
        <w:tblW w:w="9360"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F3562B" w14:paraId="5F5CCCEE" w14:textId="77777777">
        <w:trPr>
          <w:trHeight w:val="300"/>
        </w:trPr>
        <w:tc>
          <w:tcPr>
            <w:tcW w:w="9360" w:type="dxa"/>
            <w:gridSpan w:val="3"/>
            <w:tcMar>
              <w:top w:w="43" w:type="dxa"/>
              <w:left w:w="115" w:type="dxa"/>
              <w:bottom w:w="43" w:type="dxa"/>
              <w:right w:w="115" w:type="dxa"/>
            </w:tcMar>
            <w:vAlign w:val="center"/>
          </w:tcPr>
          <w:p w14:paraId="4648511E" w14:textId="77777777" w:rsidR="00F3562B" w:rsidRDefault="002B3C0C">
            <w:pPr>
              <w:numPr>
                <w:ilvl w:val="0"/>
                <w:numId w:val="1"/>
              </w:numPr>
              <w:pBdr>
                <w:top w:val="nil"/>
                <w:left w:val="nil"/>
                <w:bottom w:val="nil"/>
                <w:right w:val="nil"/>
                <w:between w:val="nil"/>
              </w:pBdr>
              <w:spacing w:after="160" w:line="259" w:lineRule="auto"/>
              <w:rPr>
                <w:rFonts w:ascii="EuAlbertina" w:eastAsia="EuAlbertina" w:hAnsi="EuAlbertina" w:cs="EuAlbertina"/>
                <w:b/>
                <w:color w:val="000000"/>
                <w:sz w:val="20"/>
                <w:szCs w:val="20"/>
              </w:rPr>
            </w:pPr>
            <w:r>
              <w:rPr>
                <w:rFonts w:ascii="EuAlbertina" w:eastAsia="EuAlbertina" w:hAnsi="EuAlbertina" w:cs="EuAlbertina"/>
                <w:b/>
                <w:color w:val="000000"/>
                <w:sz w:val="20"/>
                <w:szCs w:val="20"/>
              </w:rPr>
              <w:t>Trademark</w:t>
            </w:r>
            <w:r>
              <w:rPr>
                <w:rFonts w:ascii="EuAlbertina" w:eastAsia="EuAlbertina" w:hAnsi="EuAlbertina" w:cs="EuAlbertina"/>
                <w:b/>
                <w:color w:val="000000"/>
                <w:sz w:val="24"/>
                <w:szCs w:val="24"/>
                <w:vertAlign w:val="superscript"/>
              </w:rPr>
              <w:t xml:space="preserve"> (a) (b) </w:t>
            </w:r>
            <w:r>
              <w:rPr>
                <w:rFonts w:ascii="EuAlbertina" w:eastAsia="EuAlbertina" w:hAnsi="EuAlbertina" w:cs="EuAlbertina"/>
                <w:b/>
                <w:color w:val="000000"/>
                <w:sz w:val="20"/>
                <w:szCs w:val="20"/>
              </w:rPr>
              <w:t>Motorola</w:t>
            </w:r>
          </w:p>
        </w:tc>
      </w:tr>
      <w:tr w:rsidR="00F3562B" w14:paraId="47130CC6" w14:textId="77777777">
        <w:trPr>
          <w:trHeight w:val="300"/>
        </w:trPr>
        <w:tc>
          <w:tcPr>
            <w:tcW w:w="9360" w:type="dxa"/>
            <w:gridSpan w:val="3"/>
            <w:tcMar>
              <w:top w:w="43" w:type="dxa"/>
              <w:left w:w="115" w:type="dxa"/>
              <w:bottom w:w="43" w:type="dxa"/>
              <w:right w:w="115" w:type="dxa"/>
            </w:tcMar>
            <w:vAlign w:val="center"/>
          </w:tcPr>
          <w:p w14:paraId="062EA8EC" w14:textId="77777777" w:rsidR="00F3562B" w:rsidRDefault="002B3C0C">
            <w:pPr>
              <w:numPr>
                <w:ilvl w:val="0"/>
                <w:numId w:val="1"/>
              </w:numPr>
              <w:pBdr>
                <w:top w:val="nil"/>
                <w:left w:val="nil"/>
                <w:bottom w:val="nil"/>
                <w:right w:val="nil"/>
                <w:between w:val="nil"/>
              </w:pBdr>
              <w:spacing w:after="160" w:line="259" w:lineRule="auto"/>
              <w:rPr>
                <w:rFonts w:ascii="EuAlbertina" w:eastAsia="EuAlbertina" w:hAnsi="EuAlbertina" w:cs="EuAlbertina"/>
                <w:b/>
                <w:color w:val="000000"/>
                <w:sz w:val="20"/>
                <w:szCs w:val="20"/>
              </w:rPr>
            </w:pPr>
            <w:r>
              <w:rPr>
                <w:rFonts w:ascii="EuAlbertina" w:eastAsia="EuAlbertina" w:hAnsi="EuAlbertina" w:cs="EuAlbertina"/>
                <w:b/>
                <w:color w:val="000000"/>
                <w:sz w:val="20"/>
                <w:szCs w:val="20"/>
              </w:rPr>
              <w:t xml:space="preserve">Model identifier </w:t>
            </w:r>
            <w:r>
              <w:rPr>
                <w:rFonts w:ascii="EuAlbertina" w:eastAsia="EuAlbertina" w:hAnsi="EuAlbertina" w:cs="EuAlbertina"/>
                <w:b/>
                <w:color w:val="000000"/>
                <w:sz w:val="24"/>
                <w:szCs w:val="24"/>
                <w:vertAlign w:val="superscript"/>
              </w:rPr>
              <w:t>(b)</w:t>
            </w:r>
            <w:r>
              <w:rPr>
                <w:rFonts w:ascii="EuAlbertina" w:eastAsia="EuAlbertina" w:hAnsi="EuAlbertina" w:cs="EuAlbertina"/>
                <w:b/>
                <w:color w:val="000000"/>
                <w:sz w:val="24"/>
                <w:szCs w:val="24"/>
              </w:rPr>
              <w:t>XT2409-</w:t>
            </w:r>
            <w:r>
              <w:rPr>
                <w:rFonts w:ascii="EuAlbertina" w:eastAsia="EuAlbertina" w:hAnsi="EuAlbertina" w:cs="EuAlbertina"/>
                <w:b/>
                <w:sz w:val="24"/>
                <w:szCs w:val="24"/>
              </w:rPr>
              <w:t>6</w:t>
            </w:r>
          </w:p>
        </w:tc>
      </w:tr>
      <w:tr w:rsidR="00F3562B" w14:paraId="19118C6D" w14:textId="77777777">
        <w:trPr>
          <w:trHeight w:val="300"/>
        </w:trPr>
        <w:tc>
          <w:tcPr>
            <w:tcW w:w="9360" w:type="dxa"/>
            <w:gridSpan w:val="3"/>
            <w:tcMar>
              <w:top w:w="43" w:type="dxa"/>
              <w:left w:w="115" w:type="dxa"/>
              <w:bottom w:w="43" w:type="dxa"/>
              <w:right w:w="115" w:type="dxa"/>
            </w:tcMar>
            <w:vAlign w:val="center"/>
          </w:tcPr>
          <w:p w14:paraId="40DDD3C2" w14:textId="6BB9ECA2" w:rsidR="00F3562B" w:rsidRDefault="002B3C0C">
            <w:pPr>
              <w:numPr>
                <w:ilvl w:val="0"/>
                <w:numId w:val="1"/>
              </w:numPr>
              <w:pBdr>
                <w:top w:val="nil"/>
                <w:left w:val="nil"/>
                <w:bottom w:val="nil"/>
                <w:right w:val="nil"/>
                <w:between w:val="nil"/>
              </w:pBdr>
              <w:spacing w:after="160" w:line="259" w:lineRule="auto"/>
              <w:rPr>
                <w:rFonts w:ascii="EuAlbertina" w:eastAsia="EuAlbertina" w:hAnsi="EuAlbertina" w:cs="EuAlbertina"/>
                <w:b/>
                <w:color w:val="000000"/>
                <w:sz w:val="20"/>
                <w:szCs w:val="20"/>
              </w:rPr>
            </w:pPr>
            <w:r>
              <w:rPr>
                <w:rFonts w:ascii="EuAlbertina" w:eastAsia="EuAlbertina" w:hAnsi="EuAlbertina" w:cs="EuAlbertina"/>
                <w:b/>
                <w:color w:val="000000"/>
                <w:sz w:val="20"/>
                <w:szCs w:val="20"/>
              </w:rPr>
              <w:t xml:space="preserve">General product parameters: </w:t>
            </w:r>
            <w:r>
              <w:rPr>
                <w:rFonts w:ascii="EuAlbertina" w:eastAsia="EuAlbertina" w:hAnsi="EuAlbertina" w:cs="EuAlbertina"/>
                <w:b/>
                <w:sz w:val="20"/>
                <w:szCs w:val="20"/>
              </w:rPr>
              <w:t>Thinkphone2</w:t>
            </w:r>
            <w:r w:rsidR="002E0412">
              <w:rPr>
                <w:rFonts w:ascii="EuAlbertina" w:hAnsi="EuAlbertina" w:cs="EuAlbertina" w:hint="eastAsia"/>
                <w:b/>
                <w:sz w:val="20"/>
                <w:szCs w:val="20"/>
              </w:rPr>
              <w:t>5</w:t>
            </w:r>
            <w:r>
              <w:rPr>
                <w:rFonts w:ascii="EuAlbertina" w:eastAsia="EuAlbertina" w:hAnsi="EuAlbertina" w:cs="EuAlbertina"/>
                <w:b/>
                <w:sz w:val="20"/>
                <w:szCs w:val="20"/>
              </w:rPr>
              <w:t xml:space="preserve"> By Motorola</w:t>
            </w:r>
          </w:p>
        </w:tc>
      </w:tr>
      <w:tr w:rsidR="00F3562B" w14:paraId="16F29188" w14:textId="77777777">
        <w:trPr>
          <w:trHeight w:val="300"/>
        </w:trPr>
        <w:tc>
          <w:tcPr>
            <w:tcW w:w="6240" w:type="dxa"/>
            <w:gridSpan w:val="2"/>
            <w:tcMar>
              <w:top w:w="43" w:type="dxa"/>
              <w:left w:w="115" w:type="dxa"/>
              <w:bottom w:w="43" w:type="dxa"/>
              <w:right w:w="115" w:type="dxa"/>
            </w:tcMar>
            <w:vAlign w:val="center"/>
          </w:tcPr>
          <w:p w14:paraId="5144E7FF"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Parameter</w:t>
            </w:r>
          </w:p>
        </w:tc>
        <w:tc>
          <w:tcPr>
            <w:tcW w:w="3120" w:type="dxa"/>
            <w:tcMar>
              <w:top w:w="43" w:type="dxa"/>
              <w:left w:w="216" w:type="dxa"/>
              <w:bottom w:w="43" w:type="dxa"/>
              <w:right w:w="115" w:type="dxa"/>
            </w:tcMar>
            <w:vAlign w:val="center"/>
          </w:tcPr>
          <w:p w14:paraId="5B84F687"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Value</w:t>
            </w:r>
          </w:p>
        </w:tc>
      </w:tr>
      <w:tr w:rsidR="00F3562B" w14:paraId="3FDC2D19" w14:textId="77777777">
        <w:trPr>
          <w:trHeight w:val="300"/>
        </w:trPr>
        <w:tc>
          <w:tcPr>
            <w:tcW w:w="6240" w:type="dxa"/>
            <w:gridSpan w:val="2"/>
            <w:tcMar>
              <w:top w:w="43" w:type="dxa"/>
              <w:left w:w="115" w:type="dxa"/>
              <w:bottom w:w="43" w:type="dxa"/>
              <w:right w:w="115" w:type="dxa"/>
            </w:tcMar>
            <w:vAlign w:val="center"/>
          </w:tcPr>
          <w:p w14:paraId="72C5C4E0"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Device Type</w:t>
            </w:r>
          </w:p>
        </w:tc>
        <w:tc>
          <w:tcPr>
            <w:tcW w:w="3120" w:type="dxa"/>
            <w:tcMar>
              <w:top w:w="43" w:type="dxa"/>
              <w:left w:w="432" w:type="dxa"/>
              <w:bottom w:w="43" w:type="dxa"/>
              <w:right w:w="115" w:type="dxa"/>
            </w:tcMar>
            <w:vAlign w:val="center"/>
          </w:tcPr>
          <w:p w14:paraId="281EC79A"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sz w:val="20"/>
                <w:szCs w:val="20"/>
              </w:rPr>
              <w:t>Thinkphone25 by Motorola</w:t>
            </w:r>
          </w:p>
        </w:tc>
      </w:tr>
      <w:tr w:rsidR="00F3562B" w14:paraId="59017FF8" w14:textId="77777777">
        <w:trPr>
          <w:trHeight w:val="300"/>
        </w:trPr>
        <w:tc>
          <w:tcPr>
            <w:tcW w:w="6240" w:type="dxa"/>
            <w:gridSpan w:val="2"/>
            <w:tcMar>
              <w:top w:w="43" w:type="dxa"/>
              <w:left w:w="115" w:type="dxa"/>
              <w:bottom w:w="43" w:type="dxa"/>
              <w:right w:w="115" w:type="dxa"/>
            </w:tcMar>
            <w:vAlign w:val="center"/>
          </w:tcPr>
          <w:p w14:paraId="7CBADCDD"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 xml:space="preserve">Operating System </w:t>
            </w:r>
          </w:p>
        </w:tc>
        <w:tc>
          <w:tcPr>
            <w:tcW w:w="3120" w:type="dxa"/>
            <w:tcMar>
              <w:top w:w="43" w:type="dxa"/>
              <w:left w:w="432" w:type="dxa"/>
              <w:bottom w:w="43" w:type="dxa"/>
              <w:right w:w="115" w:type="dxa"/>
            </w:tcMar>
            <w:vAlign w:val="center"/>
          </w:tcPr>
          <w:p w14:paraId="27B800C0"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Android 14</w:t>
            </w:r>
          </w:p>
        </w:tc>
      </w:tr>
      <w:tr w:rsidR="00F3562B" w14:paraId="058C1BFC" w14:textId="77777777">
        <w:trPr>
          <w:trHeight w:val="300"/>
        </w:trPr>
        <w:tc>
          <w:tcPr>
            <w:tcW w:w="6240" w:type="dxa"/>
            <w:gridSpan w:val="2"/>
            <w:tcMar>
              <w:top w:w="43" w:type="dxa"/>
              <w:left w:w="115" w:type="dxa"/>
              <w:bottom w:w="43" w:type="dxa"/>
              <w:right w:w="115" w:type="dxa"/>
            </w:tcMar>
            <w:vAlign w:val="center"/>
          </w:tcPr>
          <w:p w14:paraId="29972C1B"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Energy efficiency class</w:t>
            </w:r>
          </w:p>
        </w:tc>
        <w:tc>
          <w:tcPr>
            <w:tcW w:w="3120" w:type="dxa"/>
            <w:tcMar>
              <w:top w:w="43" w:type="dxa"/>
              <w:left w:w="432" w:type="dxa"/>
              <w:bottom w:w="43" w:type="dxa"/>
              <w:right w:w="115" w:type="dxa"/>
            </w:tcMar>
            <w:vAlign w:val="center"/>
          </w:tcPr>
          <w:p w14:paraId="2783C793"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sz w:val="20"/>
                <w:szCs w:val="20"/>
              </w:rPr>
              <w:t>A</w:t>
            </w:r>
          </w:p>
        </w:tc>
      </w:tr>
      <w:tr w:rsidR="00F3562B" w14:paraId="07E48CD1" w14:textId="77777777">
        <w:trPr>
          <w:trHeight w:val="300"/>
        </w:trPr>
        <w:tc>
          <w:tcPr>
            <w:tcW w:w="6240" w:type="dxa"/>
            <w:gridSpan w:val="2"/>
            <w:tcMar>
              <w:top w:w="43" w:type="dxa"/>
              <w:left w:w="115" w:type="dxa"/>
              <w:bottom w:w="43" w:type="dxa"/>
              <w:right w:w="115" w:type="dxa"/>
            </w:tcMar>
            <w:vAlign w:val="center"/>
          </w:tcPr>
          <w:p w14:paraId="6B1A5442"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Battery user-replaceable (c)</w:t>
            </w:r>
          </w:p>
        </w:tc>
        <w:tc>
          <w:tcPr>
            <w:tcW w:w="3120" w:type="dxa"/>
            <w:tcMar>
              <w:top w:w="43" w:type="dxa"/>
              <w:left w:w="432" w:type="dxa"/>
              <w:bottom w:w="43" w:type="dxa"/>
              <w:right w:w="115" w:type="dxa"/>
            </w:tcMar>
            <w:vAlign w:val="center"/>
          </w:tcPr>
          <w:p w14:paraId="6C1F4D47"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Yes</w:t>
            </w:r>
          </w:p>
        </w:tc>
      </w:tr>
      <w:tr w:rsidR="00F3562B" w14:paraId="185B42AD" w14:textId="77777777">
        <w:trPr>
          <w:trHeight w:val="300"/>
        </w:trPr>
        <w:tc>
          <w:tcPr>
            <w:tcW w:w="6240" w:type="dxa"/>
            <w:gridSpan w:val="2"/>
            <w:tcMar>
              <w:top w:w="43" w:type="dxa"/>
              <w:left w:w="115" w:type="dxa"/>
              <w:bottom w:w="43" w:type="dxa"/>
              <w:right w:w="115" w:type="dxa"/>
            </w:tcMar>
            <w:vAlign w:val="center"/>
          </w:tcPr>
          <w:p w14:paraId="65FAD051"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Battery endurance per cycle (END</w:t>
            </w:r>
            <w:r>
              <w:rPr>
                <w:rFonts w:ascii="EUAlbertina-Regu" w:eastAsia="EUAlbertina-Regu" w:hAnsi="EUAlbertina-Regu" w:cs="EUAlbertina-Regu"/>
                <w:color w:val="000000"/>
                <w:sz w:val="24"/>
                <w:szCs w:val="24"/>
                <w:vertAlign w:val="subscript"/>
              </w:rPr>
              <w:t>device</w:t>
            </w:r>
            <w:r>
              <w:rPr>
                <w:rFonts w:ascii="EUAlbertina-Regu" w:eastAsia="EUAlbertina-Regu" w:hAnsi="EUAlbertina-Regu" w:cs="EUAlbertina-Regu"/>
                <w:color w:val="000000"/>
                <w:sz w:val="20"/>
                <w:szCs w:val="20"/>
              </w:rPr>
              <w:t xml:space="preserve"> [h])</w:t>
            </w:r>
          </w:p>
        </w:tc>
        <w:tc>
          <w:tcPr>
            <w:tcW w:w="3120" w:type="dxa"/>
            <w:tcMar>
              <w:top w:w="43" w:type="dxa"/>
              <w:left w:w="432" w:type="dxa"/>
              <w:bottom w:w="43" w:type="dxa"/>
              <w:right w:w="115" w:type="dxa"/>
            </w:tcMar>
            <w:vAlign w:val="center"/>
          </w:tcPr>
          <w:p w14:paraId="62169B93" w14:textId="23B154C1" w:rsidR="00F3562B" w:rsidRDefault="00FE7C21">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50H44Min</w:t>
            </w:r>
          </w:p>
        </w:tc>
      </w:tr>
      <w:tr w:rsidR="00F3562B" w14:paraId="6414AEB1" w14:textId="77777777">
        <w:trPr>
          <w:trHeight w:val="300"/>
        </w:trPr>
        <w:tc>
          <w:tcPr>
            <w:tcW w:w="6240" w:type="dxa"/>
            <w:gridSpan w:val="2"/>
            <w:tcMar>
              <w:top w:w="43" w:type="dxa"/>
              <w:left w:w="115" w:type="dxa"/>
              <w:bottom w:w="43" w:type="dxa"/>
              <w:right w:w="115" w:type="dxa"/>
            </w:tcMar>
            <w:vAlign w:val="center"/>
          </w:tcPr>
          <w:p w14:paraId="0019AC63"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Battery endurance in cycles – default settings [cycles]</w:t>
            </w:r>
          </w:p>
        </w:tc>
        <w:tc>
          <w:tcPr>
            <w:tcW w:w="3120" w:type="dxa"/>
            <w:tcMar>
              <w:top w:w="43" w:type="dxa"/>
              <w:left w:w="432" w:type="dxa"/>
              <w:bottom w:w="43" w:type="dxa"/>
              <w:right w:w="115" w:type="dxa"/>
            </w:tcMar>
            <w:vAlign w:val="center"/>
          </w:tcPr>
          <w:p w14:paraId="73F6F4A7"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 1200</w:t>
            </w:r>
          </w:p>
        </w:tc>
      </w:tr>
      <w:tr w:rsidR="00F3562B" w14:paraId="24AFE02E" w14:textId="77777777">
        <w:trPr>
          <w:trHeight w:val="300"/>
        </w:trPr>
        <w:tc>
          <w:tcPr>
            <w:tcW w:w="6240" w:type="dxa"/>
            <w:gridSpan w:val="2"/>
            <w:tcMar>
              <w:top w:w="43" w:type="dxa"/>
              <w:left w:w="115" w:type="dxa"/>
              <w:bottom w:w="43" w:type="dxa"/>
              <w:right w:w="115" w:type="dxa"/>
            </w:tcMar>
            <w:vAlign w:val="center"/>
          </w:tcPr>
          <w:p w14:paraId="087EA5E1"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Rated battery capacity (C</w:t>
            </w:r>
            <w:r>
              <w:rPr>
                <w:rFonts w:ascii="EUAlbertina-Regu" w:eastAsia="EUAlbertina-Regu" w:hAnsi="EUAlbertina-Regu" w:cs="EUAlbertina-Regu"/>
                <w:color w:val="000000"/>
                <w:sz w:val="24"/>
                <w:szCs w:val="24"/>
                <w:vertAlign w:val="subscript"/>
              </w:rPr>
              <w:t>rated</w:t>
            </w:r>
            <w:r>
              <w:rPr>
                <w:rFonts w:ascii="EUAlbertina-Regu" w:eastAsia="EUAlbertina-Regu" w:hAnsi="EUAlbertina-Regu" w:cs="EUAlbertina-Regu"/>
                <w:color w:val="000000"/>
                <w:sz w:val="20"/>
                <w:szCs w:val="20"/>
              </w:rPr>
              <w:t xml:space="preserve"> [mAh])</w:t>
            </w:r>
          </w:p>
        </w:tc>
        <w:tc>
          <w:tcPr>
            <w:tcW w:w="3120" w:type="dxa"/>
            <w:tcMar>
              <w:top w:w="43" w:type="dxa"/>
              <w:left w:w="432" w:type="dxa"/>
              <w:bottom w:w="43" w:type="dxa"/>
              <w:right w:w="115" w:type="dxa"/>
            </w:tcMar>
            <w:vAlign w:val="center"/>
          </w:tcPr>
          <w:p w14:paraId="7DAE5997"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4</w:t>
            </w:r>
            <w:r>
              <w:rPr>
                <w:rFonts w:ascii="EUAlbertina-Regu" w:eastAsia="EUAlbertina-Regu" w:hAnsi="EUAlbertina-Regu" w:cs="EUAlbertina-Regu"/>
                <w:sz w:val="20"/>
                <w:szCs w:val="20"/>
              </w:rPr>
              <w:t>18</w:t>
            </w:r>
            <w:r>
              <w:rPr>
                <w:rFonts w:ascii="EUAlbertina-Regu" w:eastAsia="EUAlbertina-Regu" w:hAnsi="EUAlbertina-Regu" w:cs="EUAlbertina-Regu"/>
                <w:color w:val="000000"/>
                <w:sz w:val="20"/>
                <w:szCs w:val="20"/>
              </w:rPr>
              <w:t>0mAh</w:t>
            </w:r>
          </w:p>
        </w:tc>
      </w:tr>
      <w:tr w:rsidR="00F3562B" w14:paraId="3370B094" w14:textId="77777777">
        <w:trPr>
          <w:trHeight w:val="300"/>
        </w:trPr>
        <w:tc>
          <w:tcPr>
            <w:tcW w:w="6240" w:type="dxa"/>
            <w:gridSpan w:val="2"/>
            <w:tcMar>
              <w:top w:w="43" w:type="dxa"/>
              <w:left w:w="115" w:type="dxa"/>
              <w:bottom w:w="43" w:type="dxa"/>
              <w:right w:w="115" w:type="dxa"/>
            </w:tcMar>
            <w:vAlign w:val="center"/>
          </w:tcPr>
          <w:p w14:paraId="0A3814F6"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Shipped with protective cover</w:t>
            </w:r>
          </w:p>
        </w:tc>
        <w:tc>
          <w:tcPr>
            <w:tcW w:w="3120" w:type="dxa"/>
            <w:tcMar>
              <w:top w:w="43" w:type="dxa"/>
              <w:left w:w="432" w:type="dxa"/>
              <w:bottom w:w="43" w:type="dxa"/>
              <w:right w:w="115" w:type="dxa"/>
            </w:tcMar>
            <w:vAlign w:val="center"/>
          </w:tcPr>
          <w:p w14:paraId="2488E973"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Yes</w:t>
            </w:r>
          </w:p>
        </w:tc>
      </w:tr>
      <w:tr w:rsidR="00F3562B" w14:paraId="67745583" w14:textId="77777777">
        <w:trPr>
          <w:trHeight w:val="300"/>
        </w:trPr>
        <w:tc>
          <w:tcPr>
            <w:tcW w:w="6240" w:type="dxa"/>
            <w:gridSpan w:val="2"/>
            <w:tcMar>
              <w:top w:w="43" w:type="dxa"/>
              <w:left w:w="115" w:type="dxa"/>
              <w:bottom w:w="43" w:type="dxa"/>
              <w:right w:w="115" w:type="dxa"/>
            </w:tcMar>
            <w:vAlign w:val="center"/>
          </w:tcPr>
          <w:p w14:paraId="0532E267"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Repeated free fall reliability test – falls without defect [n]</w:t>
            </w:r>
          </w:p>
        </w:tc>
        <w:tc>
          <w:tcPr>
            <w:tcW w:w="3120" w:type="dxa"/>
            <w:tcMar>
              <w:top w:w="43" w:type="dxa"/>
              <w:left w:w="432" w:type="dxa"/>
              <w:bottom w:w="43" w:type="dxa"/>
              <w:right w:w="115" w:type="dxa"/>
            </w:tcMar>
            <w:vAlign w:val="center"/>
          </w:tcPr>
          <w:p w14:paraId="0C244B95"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 xml:space="preserve">≥ </w:t>
            </w:r>
            <w:r>
              <w:rPr>
                <w:rFonts w:ascii="EUAlbertina-Regu" w:eastAsia="EUAlbertina-Regu" w:hAnsi="EUAlbertina-Regu" w:cs="EUAlbertina-Regu"/>
                <w:sz w:val="20"/>
                <w:szCs w:val="20"/>
              </w:rPr>
              <w:t>180</w:t>
            </w:r>
          </w:p>
        </w:tc>
      </w:tr>
      <w:tr w:rsidR="00F3562B" w14:paraId="38AF0CFB" w14:textId="77777777">
        <w:trPr>
          <w:trHeight w:val="300"/>
        </w:trPr>
        <w:tc>
          <w:tcPr>
            <w:tcW w:w="6240" w:type="dxa"/>
            <w:gridSpan w:val="2"/>
            <w:tcMar>
              <w:top w:w="43" w:type="dxa"/>
              <w:left w:w="115" w:type="dxa"/>
              <w:bottom w:w="43" w:type="dxa"/>
              <w:right w:w="115" w:type="dxa"/>
            </w:tcMar>
            <w:vAlign w:val="center"/>
          </w:tcPr>
          <w:p w14:paraId="7501803E"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 xml:space="preserve">Repeated free fall </w:t>
            </w:r>
            <w:r>
              <w:rPr>
                <w:rFonts w:ascii="EUAlbertina-Regu" w:eastAsia="EUAlbertina-Regu" w:hAnsi="EUAlbertina-Regu" w:cs="EUAlbertina-Regu"/>
                <w:color w:val="000000"/>
                <w:sz w:val="20"/>
                <w:szCs w:val="20"/>
              </w:rPr>
              <w:t>reliability test – falls without defect, tested in fully extended state [n]</w:t>
            </w:r>
          </w:p>
        </w:tc>
        <w:tc>
          <w:tcPr>
            <w:tcW w:w="3120" w:type="dxa"/>
            <w:tcMar>
              <w:top w:w="43" w:type="dxa"/>
              <w:left w:w="432" w:type="dxa"/>
              <w:bottom w:w="43" w:type="dxa"/>
              <w:right w:w="115" w:type="dxa"/>
            </w:tcMar>
            <w:vAlign w:val="center"/>
          </w:tcPr>
          <w:p w14:paraId="55A1BBD0"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N/A</w:t>
            </w:r>
          </w:p>
        </w:tc>
      </w:tr>
      <w:tr w:rsidR="00F3562B" w14:paraId="1F343C1F" w14:textId="77777777">
        <w:trPr>
          <w:trHeight w:val="300"/>
        </w:trPr>
        <w:tc>
          <w:tcPr>
            <w:tcW w:w="6240" w:type="dxa"/>
            <w:gridSpan w:val="2"/>
            <w:tcMar>
              <w:top w:w="43" w:type="dxa"/>
              <w:left w:w="115" w:type="dxa"/>
              <w:bottom w:w="43" w:type="dxa"/>
              <w:right w:w="115" w:type="dxa"/>
            </w:tcMar>
            <w:vAlign w:val="center"/>
          </w:tcPr>
          <w:p w14:paraId="2E91BAAC"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Repeated free fall reliability class</w:t>
            </w:r>
          </w:p>
        </w:tc>
        <w:tc>
          <w:tcPr>
            <w:tcW w:w="3120" w:type="dxa"/>
            <w:tcMar>
              <w:top w:w="43" w:type="dxa"/>
              <w:left w:w="432" w:type="dxa"/>
              <w:bottom w:w="43" w:type="dxa"/>
              <w:right w:w="115" w:type="dxa"/>
            </w:tcMar>
            <w:vAlign w:val="center"/>
          </w:tcPr>
          <w:p w14:paraId="27B328E2"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B</w:t>
            </w:r>
          </w:p>
        </w:tc>
      </w:tr>
      <w:tr w:rsidR="00F3562B" w14:paraId="1B95C8F8" w14:textId="77777777">
        <w:trPr>
          <w:trHeight w:val="300"/>
        </w:trPr>
        <w:tc>
          <w:tcPr>
            <w:tcW w:w="6240" w:type="dxa"/>
            <w:gridSpan w:val="2"/>
            <w:tcMar>
              <w:top w:w="43" w:type="dxa"/>
              <w:left w:w="115" w:type="dxa"/>
              <w:bottom w:w="43" w:type="dxa"/>
              <w:right w:w="115" w:type="dxa"/>
            </w:tcMar>
            <w:vAlign w:val="center"/>
          </w:tcPr>
          <w:p w14:paraId="31F338D2"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Ingress protection rating</w:t>
            </w:r>
          </w:p>
        </w:tc>
        <w:tc>
          <w:tcPr>
            <w:tcW w:w="3120" w:type="dxa"/>
            <w:tcMar>
              <w:top w:w="43" w:type="dxa"/>
              <w:left w:w="432" w:type="dxa"/>
              <w:bottom w:w="43" w:type="dxa"/>
              <w:right w:w="115" w:type="dxa"/>
            </w:tcMar>
            <w:vAlign w:val="center"/>
          </w:tcPr>
          <w:p w14:paraId="5AD795AC"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IP68</w:t>
            </w:r>
          </w:p>
        </w:tc>
      </w:tr>
      <w:tr w:rsidR="00F3562B" w14:paraId="6AF3CEE7" w14:textId="77777777">
        <w:trPr>
          <w:trHeight w:val="300"/>
        </w:trPr>
        <w:tc>
          <w:tcPr>
            <w:tcW w:w="6240" w:type="dxa"/>
            <w:gridSpan w:val="2"/>
            <w:tcMar>
              <w:top w:w="43" w:type="dxa"/>
              <w:left w:w="115" w:type="dxa"/>
              <w:bottom w:w="43" w:type="dxa"/>
              <w:right w:w="115" w:type="dxa"/>
            </w:tcMar>
            <w:vAlign w:val="center"/>
          </w:tcPr>
          <w:p w14:paraId="5C4B91A2"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Specified immersion depth in water, in case of IPx8 [m]</w:t>
            </w:r>
          </w:p>
        </w:tc>
        <w:tc>
          <w:tcPr>
            <w:tcW w:w="3120" w:type="dxa"/>
            <w:tcMar>
              <w:top w:w="43" w:type="dxa"/>
              <w:left w:w="432" w:type="dxa"/>
              <w:bottom w:w="43" w:type="dxa"/>
              <w:right w:w="115" w:type="dxa"/>
            </w:tcMar>
            <w:vAlign w:val="center"/>
          </w:tcPr>
          <w:p w14:paraId="5A1ECEE3"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1.5M/30Min</w:t>
            </w:r>
          </w:p>
        </w:tc>
      </w:tr>
      <w:tr w:rsidR="00F3562B" w14:paraId="28ECC8FA" w14:textId="77777777">
        <w:trPr>
          <w:trHeight w:val="300"/>
        </w:trPr>
        <w:tc>
          <w:tcPr>
            <w:tcW w:w="6240" w:type="dxa"/>
            <w:gridSpan w:val="2"/>
            <w:tcMar>
              <w:top w:w="43" w:type="dxa"/>
              <w:left w:w="115" w:type="dxa"/>
              <w:bottom w:w="43" w:type="dxa"/>
              <w:right w:w="115" w:type="dxa"/>
            </w:tcMar>
            <w:vAlign w:val="center"/>
          </w:tcPr>
          <w:p w14:paraId="26555819"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 xml:space="preserve">Screen scratch resistance on </w:t>
            </w:r>
            <w:r>
              <w:rPr>
                <w:rFonts w:ascii="EUAlbertina-Regu" w:eastAsia="EUAlbertina-Regu" w:hAnsi="EUAlbertina-Regu" w:cs="EUAlbertina-Regu"/>
                <w:color w:val="000000"/>
                <w:sz w:val="20"/>
                <w:szCs w:val="20"/>
              </w:rPr>
              <w:t>Mohs hardness scale</w:t>
            </w:r>
          </w:p>
        </w:tc>
        <w:tc>
          <w:tcPr>
            <w:tcW w:w="3120" w:type="dxa"/>
            <w:tcMar>
              <w:top w:w="43" w:type="dxa"/>
              <w:left w:w="432" w:type="dxa"/>
              <w:bottom w:w="43" w:type="dxa"/>
              <w:right w:w="115" w:type="dxa"/>
            </w:tcMar>
            <w:vAlign w:val="center"/>
          </w:tcPr>
          <w:p w14:paraId="33218B61"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sz w:val="20"/>
                <w:szCs w:val="20"/>
              </w:rPr>
              <w:t>4</w:t>
            </w:r>
          </w:p>
        </w:tc>
      </w:tr>
      <w:tr w:rsidR="00F3562B" w14:paraId="58B51869" w14:textId="77777777">
        <w:trPr>
          <w:trHeight w:val="300"/>
        </w:trPr>
        <w:tc>
          <w:tcPr>
            <w:tcW w:w="3120" w:type="dxa"/>
            <w:vMerge w:val="restart"/>
            <w:tcMar>
              <w:top w:w="43" w:type="dxa"/>
              <w:left w:w="115" w:type="dxa"/>
              <w:bottom w:w="43" w:type="dxa"/>
              <w:right w:w="115" w:type="dxa"/>
            </w:tcMar>
            <w:vAlign w:val="center"/>
          </w:tcPr>
          <w:p w14:paraId="1EE6F644" w14:textId="77777777" w:rsidR="00F3562B" w:rsidRDefault="002B3C0C">
            <w:pPr>
              <w:numPr>
                <w:ilvl w:val="0"/>
                <w:numId w:val="1"/>
              </w:numPr>
              <w:pBdr>
                <w:top w:val="nil"/>
                <w:left w:val="nil"/>
                <w:bottom w:val="nil"/>
                <w:right w:val="nil"/>
                <w:between w:val="nil"/>
              </w:pBdr>
              <w:spacing w:after="160" w:line="259" w:lineRule="auto"/>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Charger</w:t>
            </w:r>
          </w:p>
        </w:tc>
        <w:tc>
          <w:tcPr>
            <w:tcW w:w="3120" w:type="dxa"/>
            <w:tcMar>
              <w:top w:w="43" w:type="dxa"/>
              <w:left w:w="115" w:type="dxa"/>
              <w:bottom w:w="43" w:type="dxa"/>
              <w:right w:w="115" w:type="dxa"/>
            </w:tcMar>
            <w:vAlign w:val="center"/>
          </w:tcPr>
          <w:p w14:paraId="1D824135"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Required output power [W]</w:t>
            </w:r>
          </w:p>
        </w:tc>
        <w:tc>
          <w:tcPr>
            <w:tcW w:w="3120" w:type="dxa"/>
            <w:tcMar>
              <w:top w:w="43" w:type="dxa"/>
              <w:left w:w="432" w:type="dxa"/>
              <w:bottom w:w="43" w:type="dxa"/>
              <w:right w:w="115" w:type="dxa"/>
            </w:tcMar>
            <w:vAlign w:val="center"/>
          </w:tcPr>
          <w:p w14:paraId="290C5211"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68</w:t>
            </w:r>
          </w:p>
        </w:tc>
      </w:tr>
      <w:tr w:rsidR="00F3562B" w14:paraId="2D291CCE" w14:textId="77777777">
        <w:trPr>
          <w:trHeight w:val="300"/>
        </w:trPr>
        <w:tc>
          <w:tcPr>
            <w:tcW w:w="3120" w:type="dxa"/>
            <w:vMerge/>
            <w:tcMar>
              <w:top w:w="43" w:type="dxa"/>
              <w:left w:w="115" w:type="dxa"/>
              <w:bottom w:w="43" w:type="dxa"/>
              <w:right w:w="115" w:type="dxa"/>
            </w:tcMar>
            <w:vAlign w:val="center"/>
          </w:tcPr>
          <w:p w14:paraId="367663DD" w14:textId="77777777" w:rsidR="00F3562B" w:rsidRDefault="00F3562B">
            <w:pPr>
              <w:widowControl w:val="0"/>
              <w:pBdr>
                <w:top w:val="nil"/>
                <w:left w:val="nil"/>
                <w:bottom w:val="nil"/>
                <w:right w:val="nil"/>
                <w:between w:val="nil"/>
              </w:pBdr>
              <w:spacing w:line="276" w:lineRule="auto"/>
              <w:rPr>
                <w:rFonts w:ascii="EUAlbertina-Regu" w:eastAsia="EUAlbertina-Regu" w:hAnsi="EUAlbertina-Regu" w:cs="EUAlbertina-Regu"/>
                <w:color w:val="000000"/>
                <w:sz w:val="20"/>
                <w:szCs w:val="20"/>
              </w:rPr>
            </w:pPr>
          </w:p>
        </w:tc>
        <w:tc>
          <w:tcPr>
            <w:tcW w:w="3120" w:type="dxa"/>
            <w:tcMar>
              <w:top w:w="43" w:type="dxa"/>
              <w:left w:w="115" w:type="dxa"/>
              <w:bottom w:w="43" w:type="dxa"/>
              <w:right w:w="115" w:type="dxa"/>
            </w:tcMar>
            <w:vAlign w:val="center"/>
          </w:tcPr>
          <w:p w14:paraId="76E1E874"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Receptacle type (at device end)</w:t>
            </w:r>
          </w:p>
        </w:tc>
        <w:tc>
          <w:tcPr>
            <w:tcW w:w="3120" w:type="dxa"/>
            <w:tcMar>
              <w:top w:w="43" w:type="dxa"/>
              <w:left w:w="432" w:type="dxa"/>
              <w:bottom w:w="43" w:type="dxa"/>
              <w:right w:w="115" w:type="dxa"/>
            </w:tcMar>
            <w:vAlign w:val="center"/>
          </w:tcPr>
          <w:p w14:paraId="539F9BCE" w14:textId="77777777" w:rsidR="00F3562B" w:rsidRDefault="002B3C0C">
            <w:pPr>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USB C</w:t>
            </w:r>
          </w:p>
        </w:tc>
      </w:tr>
      <w:tr w:rsidR="00F3562B" w14:paraId="2A59F1E0" w14:textId="77777777">
        <w:trPr>
          <w:trHeight w:val="300"/>
        </w:trPr>
        <w:tc>
          <w:tcPr>
            <w:tcW w:w="9360" w:type="dxa"/>
            <w:gridSpan w:val="3"/>
            <w:tcMar>
              <w:top w:w="43" w:type="dxa"/>
              <w:left w:w="115" w:type="dxa"/>
              <w:bottom w:w="43" w:type="dxa"/>
              <w:right w:w="115" w:type="dxa"/>
            </w:tcMar>
            <w:vAlign w:val="center"/>
          </w:tcPr>
          <w:p w14:paraId="1D42E50D" w14:textId="77777777" w:rsidR="00F3562B" w:rsidRDefault="002B3C0C">
            <w:pPr>
              <w:rPr>
                <w:rFonts w:ascii="EuAlbertina" w:eastAsia="EuAlbertina" w:hAnsi="EuAlbertina" w:cs="EuAlbertina"/>
              </w:rPr>
            </w:pPr>
            <w:r>
              <w:rPr>
                <w:rFonts w:ascii="EUAlbertina-Bold" w:eastAsia="EUAlbertina-Bold" w:hAnsi="EUAlbertina-Bold" w:cs="EUAlbertina-Bold"/>
                <w:b/>
                <w:color w:val="000000"/>
                <w:sz w:val="20"/>
                <w:szCs w:val="20"/>
              </w:rPr>
              <w:t>Repairability information:</w:t>
            </w:r>
          </w:p>
        </w:tc>
      </w:tr>
      <w:tr w:rsidR="00F3562B" w14:paraId="3336CFC8" w14:textId="77777777">
        <w:trPr>
          <w:trHeight w:val="300"/>
        </w:trPr>
        <w:tc>
          <w:tcPr>
            <w:tcW w:w="6240" w:type="dxa"/>
            <w:gridSpan w:val="2"/>
            <w:tcMar>
              <w:top w:w="43" w:type="dxa"/>
              <w:left w:w="115" w:type="dxa"/>
              <w:bottom w:w="43" w:type="dxa"/>
              <w:right w:w="115" w:type="dxa"/>
            </w:tcMar>
            <w:vAlign w:val="center"/>
          </w:tcPr>
          <w:p w14:paraId="57A0E328" w14:textId="77777777" w:rsidR="00F3562B" w:rsidRDefault="002B3C0C">
            <w:pPr>
              <w:numPr>
                <w:ilvl w:val="0"/>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Minimum guaranteed availability of operating system security updates,</w:t>
            </w:r>
            <w:r>
              <w:rPr>
                <w:rFonts w:eastAsia="Calibri"/>
                <w:color w:val="000000"/>
                <w:sz w:val="20"/>
                <w:szCs w:val="20"/>
              </w:rPr>
              <w:t xml:space="preserve"> </w:t>
            </w:r>
            <w:r>
              <w:rPr>
                <w:rFonts w:ascii="EUAlbertina-Regu" w:eastAsia="EUAlbertina-Regu" w:hAnsi="EUAlbertina-Regu" w:cs="EUAlbertina-Regu"/>
                <w:color w:val="000000"/>
                <w:sz w:val="20"/>
                <w:szCs w:val="20"/>
              </w:rPr>
              <w:t xml:space="preserve">corrective updates, and functionality updates </w:t>
            </w:r>
            <w:r>
              <w:rPr>
                <w:rFonts w:ascii="EUAlbertina-Regu" w:eastAsia="EUAlbertina-Regu" w:hAnsi="EUAlbertina-Regu" w:cs="EUAlbertina-Regu"/>
                <w:color w:val="000000"/>
                <w:sz w:val="24"/>
                <w:szCs w:val="24"/>
                <w:vertAlign w:val="superscript"/>
              </w:rPr>
              <w:t xml:space="preserve">(a) (b) </w:t>
            </w:r>
            <w:r>
              <w:rPr>
                <w:rFonts w:ascii="EUAlbertina-Regu" w:eastAsia="EUAlbertina-Regu" w:hAnsi="EUAlbertina-Regu" w:cs="EUAlbertina-Regu"/>
                <w:color w:val="000000"/>
                <w:sz w:val="20"/>
                <w:szCs w:val="20"/>
              </w:rPr>
              <w:t>(years)</w:t>
            </w:r>
          </w:p>
        </w:tc>
        <w:tc>
          <w:tcPr>
            <w:tcW w:w="3120" w:type="dxa"/>
            <w:tcMar>
              <w:top w:w="43" w:type="dxa"/>
              <w:left w:w="432" w:type="dxa"/>
              <w:bottom w:w="43" w:type="dxa"/>
              <w:right w:w="115" w:type="dxa"/>
            </w:tcMar>
            <w:vAlign w:val="center"/>
          </w:tcPr>
          <w:p w14:paraId="52376BFE" w14:textId="77777777" w:rsidR="00F3562B" w:rsidRDefault="002B3C0C">
            <w:pPr>
              <w:rPr>
                <w:sz w:val="20"/>
                <w:szCs w:val="20"/>
              </w:rPr>
            </w:pPr>
            <w:r>
              <w:rPr>
                <w:rFonts w:ascii="EUAlbertina-Regu" w:eastAsia="EUAlbertina-Regu" w:hAnsi="EUAlbertina-Regu" w:cs="EUAlbertina-Regu"/>
                <w:sz w:val="20"/>
                <w:szCs w:val="20"/>
              </w:rPr>
              <w:t>5</w:t>
            </w:r>
          </w:p>
        </w:tc>
      </w:tr>
      <w:tr w:rsidR="00F3562B" w14:paraId="67CCB336" w14:textId="77777777">
        <w:trPr>
          <w:trHeight w:val="300"/>
        </w:trPr>
        <w:tc>
          <w:tcPr>
            <w:tcW w:w="6240" w:type="dxa"/>
            <w:gridSpan w:val="2"/>
            <w:tcMar>
              <w:top w:w="43" w:type="dxa"/>
              <w:left w:w="115" w:type="dxa"/>
              <w:bottom w:w="43" w:type="dxa"/>
              <w:right w:w="115" w:type="dxa"/>
            </w:tcMar>
            <w:vAlign w:val="center"/>
          </w:tcPr>
          <w:p w14:paraId="58CE03B2" w14:textId="77777777" w:rsidR="00F3562B" w:rsidRDefault="002B3C0C">
            <w:pPr>
              <w:numPr>
                <w:ilvl w:val="0"/>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Repairability Class (based on the index below)</w:t>
            </w:r>
          </w:p>
        </w:tc>
        <w:tc>
          <w:tcPr>
            <w:tcW w:w="3120" w:type="dxa"/>
            <w:tcMar>
              <w:top w:w="43" w:type="dxa"/>
              <w:left w:w="432" w:type="dxa"/>
              <w:bottom w:w="43" w:type="dxa"/>
              <w:right w:w="115" w:type="dxa"/>
            </w:tcMar>
            <w:vAlign w:val="center"/>
          </w:tcPr>
          <w:p w14:paraId="7270ADE9" w14:textId="77777777" w:rsidR="00F3562B" w:rsidRDefault="002B3C0C">
            <w:pPr>
              <w:rPr>
                <w:sz w:val="20"/>
                <w:szCs w:val="20"/>
              </w:rPr>
            </w:pPr>
            <w:r>
              <w:rPr>
                <w:rFonts w:ascii="EUAlbertina-Regu" w:eastAsia="EUAlbertina-Regu" w:hAnsi="EUAlbertina-Regu" w:cs="EUAlbertina-Regu"/>
                <w:color w:val="000000"/>
                <w:sz w:val="20"/>
                <w:szCs w:val="20"/>
              </w:rPr>
              <w:t>B</w:t>
            </w:r>
          </w:p>
        </w:tc>
      </w:tr>
      <w:tr w:rsidR="00F3562B" w14:paraId="002273B8" w14:textId="77777777">
        <w:trPr>
          <w:trHeight w:val="300"/>
        </w:trPr>
        <w:tc>
          <w:tcPr>
            <w:tcW w:w="6240" w:type="dxa"/>
            <w:gridSpan w:val="2"/>
            <w:tcMar>
              <w:top w:w="43" w:type="dxa"/>
              <w:left w:w="115" w:type="dxa"/>
              <w:bottom w:w="43" w:type="dxa"/>
              <w:right w:w="115" w:type="dxa"/>
            </w:tcMar>
            <w:vAlign w:val="center"/>
          </w:tcPr>
          <w:p w14:paraId="33040A4A" w14:textId="77777777" w:rsidR="00F3562B" w:rsidRDefault="002B3C0C">
            <w:pPr>
              <w:numPr>
                <w:ilvl w:val="0"/>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 xml:space="preserve">Repairability Index </w:t>
            </w:r>
            <w:r>
              <w:rPr>
                <w:rFonts w:ascii="EUAlbertina-Regu" w:eastAsia="EUAlbertina-Regu" w:hAnsi="EUAlbertina-Regu" w:cs="EUAlbertina-Regu"/>
                <w:color w:val="000000"/>
                <w:sz w:val="24"/>
                <w:szCs w:val="24"/>
                <w:vertAlign w:val="superscript"/>
              </w:rPr>
              <w:t>(b)</w:t>
            </w:r>
          </w:p>
        </w:tc>
        <w:tc>
          <w:tcPr>
            <w:tcW w:w="3120" w:type="dxa"/>
            <w:tcMar>
              <w:top w:w="43" w:type="dxa"/>
              <w:left w:w="432" w:type="dxa"/>
              <w:bottom w:w="43" w:type="dxa"/>
              <w:right w:w="115" w:type="dxa"/>
            </w:tcMar>
            <w:vAlign w:val="center"/>
          </w:tcPr>
          <w:p w14:paraId="3D0B9366" w14:textId="70CAF4F2" w:rsidR="00F3562B" w:rsidRDefault="00F20E7F">
            <w:pPr>
              <w:rPr>
                <w:rFonts w:ascii="EUAlbertina-Regu" w:eastAsia="EUAlbertina-Regu" w:hAnsi="EUAlbertina-Regu" w:cs="EUAlbertina-Regu"/>
                <w:sz w:val="20"/>
                <w:szCs w:val="20"/>
              </w:rPr>
            </w:pPr>
            <w:r>
              <w:rPr>
                <w:rFonts w:ascii="EUAlbertina-Regu" w:eastAsia="EUAlbertina-Regu" w:hAnsi="EUAlbertina-Regu" w:cs="EUAlbertina-Regu"/>
                <w:sz w:val="20"/>
                <w:szCs w:val="20"/>
              </w:rPr>
              <w:t>3.965</w:t>
            </w:r>
          </w:p>
        </w:tc>
      </w:tr>
      <w:tr w:rsidR="00F3562B" w14:paraId="66172770" w14:textId="77777777">
        <w:trPr>
          <w:trHeight w:val="300"/>
        </w:trPr>
        <w:tc>
          <w:tcPr>
            <w:tcW w:w="6240" w:type="dxa"/>
            <w:gridSpan w:val="2"/>
            <w:tcMar>
              <w:top w:w="43" w:type="dxa"/>
              <w:left w:w="115" w:type="dxa"/>
              <w:bottom w:w="43" w:type="dxa"/>
              <w:right w:w="115" w:type="dxa"/>
            </w:tcMar>
            <w:vAlign w:val="center"/>
          </w:tcPr>
          <w:p w14:paraId="44BE0E25" w14:textId="77777777" w:rsidR="00F3562B" w:rsidRDefault="002B3C0C">
            <w:pPr>
              <w:numPr>
                <w:ilvl w:val="1"/>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 xml:space="preserve">  Disassembly Depth (SDD) score </w:t>
            </w:r>
            <w:r>
              <w:rPr>
                <w:rFonts w:ascii="EUAlbertina-Regu" w:eastAsia="EUAlbertina-Regu" w:hAnsi="EUAlbertina-Regu" w:cs="EUAlbertina-Regu"/>
                <w:color w:val="000000"/>
                <w:sz w:val="24"/>
                <w:szCs w:val="24"/>
                <w:vertAlign w:val="superscript"/>
              </w:rPr>
              <w:t>(b)</w:t>
            </w:r>
          </w:p>
        </w:tc>
        <w:tc>
          <w:tcPr>
            <w:tcW w:w="3120" w:type="dxa"/>
            <w:tcMar>
              <w:top w:w="43" w:type="dxa"/>
              <w:left w:w="432" w:type="dxa"/>
              <w:bottom w:w="43" w:type="dxa"/>
              <w:right w:w="115" w:type="dxa"/>
            </w:tcMar>
            <w:vAlign w:val="center"/>
          </w:tcPr>
          <w:p w14:paraId="4A31730A" w14:textId="77777777" w:rsidR="00F3562B" w:rsidRPr="00EC5429" w:rsidRDefault="002B3C0C">
            <w:pPr>
              <w:rPr>
                <w:rFonts w:ascii="EUAlbertina-Regu" w:eastAsia="EUAlbertina-Regu" w:hAnsi="EUAlbertina-Regu" w:cs="EUAlbertina-Regu"/>
                <w:sz w:val="20"/>
                <w:szCs w:val="20"/>
              </w:rPr>
            </w:pPr>
            <w:r w:rsidRPr="00EC5429">
              <w:rPr>
                <w:rFonts w:ascii="EUAlbertina-Regu" w:eastAsia="EUAlbertina-Regu" w:hAnsi="EUAlbertina-Regu" w:cs="EUAlbertina-Regu"/>
                <w:sz w:val="20"/>
                <w:szCs w:val="20"/>
              </w:rPr>
              <w:t>2.3</w:t>
            </w:r>
          </w:p>
        </w:tc>
      </w:tr>
      <w:tr w:rsidR="00F3562B" w14:paraId="087388D3" w14:textId="77777777">
        <w:trPr>
          <w:trHeight w:val="300"/>
        </w:trPr>
        <w:tc>
          <w:tcPr>
            <w:tcW w:w="6240" w:type="dxa"/>
            <w:gridSpan w:val="2"/>
            <w:tcMar>
              <w:top w:w="43" w:type="dxa"/>
              <w:left w:w="115" w:type="dxa"/>
              <w:bottom w:w="43" w:type="dxa"/>
              <w:right w:w="115" w:type="dxa"/>
            </w:tcMar>
            <w:vAlign w:val="center"/>
          </w:tcPr>
          <w:p w14:paraId="2150E79B" w14:textId="77777777" w:rsidR="00F3562B" w:rsidRDefault="002B3C0C">
            <w:pPr>
              <w:numPr>
                <w:ilvl w:val="1"/>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 xml:space="preserve">  Fasteners (type) score (SF) </w:t>
            </w:r>
            <w:r>
              <w:rPr>
                <w:rFonts w:ascii="EUAlbertina-Regu" w:eastAsia="EUAlbertina-Regu" w:hAnsi="EUAlbertina-Regu" w:cs="EUAlbertina-Regu"/>
                <w:color w:val="000000"/>
                <w:sz w:val="24"/>
                <w:szCs w:val="24"/>
                <w:vertAlign w:val="superscript"/>
              </w:rPr>
              <w:t>(b)</w:t>
            </w:r>
          </w:p>
        </w:tc>
        <w:tc>
          <w:tcPr>
            <w:tcW w:w="3120" w:type="dxa"/>
            <w:tcMar>
              <w:top w:w="43" w:type="dxa"/>
              <w:left w:w="432" w:type="dxa"/>
              <w:bottom w:w="43" w:type="dxa"/>
              <w:right w:w="115" w:type="dxa"/>
            </w:tcMar>
            <w:vAlign w:val="center"/>
          </w:tcPr>
          <w:p w14:paraId="37D1D8B6" w14:textId="77777777" w:rsidR="00F3562B" w:rsidRPr="00EC5429" w:rsidRDefault="002B3C0C">
            <w:pPr>
              <w:rPr>
                <w:rFonts w:ascii="EUAlbertina-Regu" w:eastAsia="EUAlbertina-Regu" w:hAnsi="EUAlbertina-Regu" w:cs="EUAlbertina-Regu"/>
                <w:sz w:val="20"/>
                <w:szCs w:val="20"/>
              </w:rPr>
            </w:pPr>
            <w:r w:rsidRPr="00EC5429">
              <w:rPr>
                <w:rFonts w:ascii="EUAlbertina-Regu" w:eastAsia="EUAlbertina-Regu" w:hAnsi="EUAlbertina-Regu" w:cs="EUAlbertina-Regu"/>
                <w:sz w:val="20"/>
                <w:szCs w:val="20"/>
              </w:rPr>
              <w:t>3.3</w:t>
            </w:r>
          </w:p>
        </w:tc>
      </w:tr>
      <w:tr w:rsidR="00F3562B" w14:paraId="6FDE526D" w14:textId="77777777">
        <w:trPr>
          <w:trHeight w:val="300"/>
        </w:trPr>
        <w:tc>
          <w:tcPr>
            <w:tcW w:w="6240" w:type="dxa"/>
            <w:gridSpan w:val="2"/>
            <w:tcMar>
              <w:top w:w="43" w:type="dxa"/>
              <w:left w:w="115" w:type="dxa"/>
              <w:bottom w:w="43" w:type="dxa"/>
              <w:right w:w="115" w:type="dxa"/>
            </w:tcMar>
            <w:vAlign w:val="center"/>
          </w:tcPr>
          <w:p w14:paraId="5354BDCC" w14:textId="77777777" w:rsidR="00F3562B" w:rsidRDefault="002B3C0C">
            <w:pPr>
              <w:numPr>
                <w:ilvl w:val="1"/>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 xml:space="preserve">  Tools (type) score (ST) </w:t>
            </w:r>
            <w:r>
              <w:rPr>
                <w:rFonts w:ascii="EUAlbertina-Regu" w:eastAsia="EUAlbertina-Regu" w:hAnsi="EUAlbertina-Regu" w:cs="EUAlbertina-Regu"/>
                <w:color w:val="000000"/>
                <w:sz w:val="24"/>
                <w:szCs w:val="24"/>
                <w:vertAlign w:val="superscript"/>
              </w:rPr>
              <w:t>(b)</w:t>
            </w:r>
          </w:p>
        </w:tc>
        <w:tc>
          <w:tcPr>
            <w:tcW w:w="3120" w:type="dxa"/>
            <w:tcMar>
              <w:top w:w="43" w:type="dxa"/>
              <w:left w:w="432" w:type="dxa"/>
              <w:bottom w:w="43" w:type="dxa"/>
              <w:right w:w="115" w:type="dxa"/>
            </w:tcMar>
            <w:vAlign w:val="center"/>
          </w:tcPr>
          <w:p w14:paraId="75022F52" w14:textId="77777777" w:rsidR="00F3562B" w:rsidRPr="00EC5429" w:rsidRDefault="002B3C0C">
            <w:pPr>
              <w:rPr>
                <w:rFonts w:ascii="EUAlbertina-Regu" w:eastAsia="EUAlbertina-Regu" w:hAnsi="EUAlbertina-Regu" w:cs="EUAlbertina-Regu"/>
                <w:sz w:val="20"/>
                <w:szCs w:val="20"/>
              </w:rPr>
            </w:pPr>
            <w:r w:rsidRPr="00EC5429">
              <w:rPr>
                <w:rFonts w:ascii="EUAlbertina-Regu" w:eastAsia="EUAlbertina-Regu" w:hAnsi="EUAlbertina-Regu" w:cs="EUAlbertina-Regu"/>
                <w:sz w:val="20"/>
                <w:szCs w:val="20"/>
              </w:rPr>
              <w:t>4.3</w:t>
            </w:r>
          </w:p>
        </w:tc>
      </w:tr>
      <w:tr w:rsidR="00F3562B" w14:paraId="570D039F" w14:textId="77777777">
        <w:trPr>
          <w:trHeight w:val="300"/>
        </w:trPr>
        <w:tc>
          <w:tcPr>
            <w:tcW w:w="6240" w:type="dxa"/>
            <w:gridSpan w:val="2"/>
            <w:tcMar>
              <w:top w:w="43" w:type="dxa"/>
              <w:left w:w="115" w:type="dxa"/>
              <w:bottom w:w="43" w:type="dxa"/>
              <w:right w:w="115" w:type="dxa"/>
            </w:tcMar>
            <w:vAlign w:val="center"/>
          </w:tcPr>
          <w:p w14:paraId="3F0D0055" w14:textId="77777777" w:rsidR="00F3562B" w:rsidRDefault="002B3C0C">
            <w:pPr>
              <w:numPr>
                <w:ilvl w:val="1"/>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 xml:space="preserve">  Spare Part score (SSP) </w:t>
            </w:r>
            <w:r>
              <w:rPr>
                <w:rFonts w:ascii="EUAlbertina-Regu" w:eastAsia="EUAlbertina-Regu" w:hAnsi="EUAlbertina-Regu" w:cs="EUAlbertina-Regu"/>
                <w:color w:val="000000"/>
                <w:sz w:val="24"/>
                <w:szCs w:val="24"/>
                <w:vertAlign w:val="superscript"/>
              </w:rPr>
              <w:t>(b)</w:t>
            </w:r>
          </w:p>
        </w:tc>
        <w:tc>
          <w:tcPr>
            <w:tcW w:w="3120" w:type="dxa"/>
            <w:tcMar>
              <w:top w:w="43" w:type="dxa"/>
              <w:left w:w="432" w:type="dxa"/>
              <w:bottom w:w="43" w:type="dxa"/>
              <w:right w:w="115" w:type="dxa"/>
            </w:tcMar>
            <w:vAlign w:val="center"/>
          </w:tcPr>
          <w:p w14:paraId="70D28389" w14:textId="77777777" w:rsidR="00F3562B" w:rsidRPr="00EC5429" w:rsidRDefault="002B3C0C">
            <w:pPr>
              <w:rPr>
                <w:rFonts w:ascii="EUAlbertina-Regu" w:eastAsia="EUAlbertina-Regu" w:hAnsi="EUAlbertina-Regu" w:cs="EUAlbertina-Regu"/>
                <w:sz w:val="20"/>
                <w:szCs w:val="20"/>
              </w:rPr>
            </w:pPr>
            <w:r w:rsidRPr="00EC5429">
              <w:rPr>
                <w:rFonts w:ascii="EUAlbertina-Regu" w:eastAsia="EUAlbertina-Regu" w:hAnsi="EUAlbertina-Regu" w:cs="EUAlbertina-Regu"/>
                <w:sz w:val="20"/>
                <w:szCs w:val="20"/>
              </w:rPr>
              <w:t>5</w:t>
            </w:r>
          </w:p>
        </w:tc>
      </w:tr>
      <w:tr w:rsidR="00F3562B" w14:paraId="259AD83D" w14:textId="77777777">
        <w:trPr>
          <w:trHeight w:val="300"/>
        </w:trPr>
        <w:tc>
          <w:tcPr>
            <w:tcW w:w="6240" w:type="dxa"/>
            <w:gridSpan w:val="2"/>
            <w:tcMar>
              <w:top w:w="43" w:type="dxa"/>
              <w:left w:w="115" w:type="dxa"/>
              <w:bottom w:w="43" w:type="dxa"/>
              <w:right w:w="115" w:type="dxa"/>
            </w:tcMar>
            <w:vAlign w:val="center"/>
          </w:tcPr>
          <w:p w14:paraId="2950D77C" w14:textId="77777777" w:rsidR="00F3562B" w:rsidRDefault="002B3C0C">
            <w:pPr>
              <w:numPr>
                <w:ilvl w:val="1"/>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 xml:space="preserve">  Software Updates (duration) score (SSU) </w:t>
            </w:r>
            <w:r>
              <w:rPr>
                <w:rFonts w:ascii="EUAlbertina-Regu" w:eastAsia="EUAlbertina-Regu" w:hAnsi="EUAlbertina-Regu" w:cs="EUAlbertina-Regu"/>
                <w:color w:val="000000"/>
                <w:sz w:val="24"/>
                <w:szCs w:val="24"/>
                <w:vertAlign w:val="superscript"/>
              </w:rPr>
              <w:t>(b)</w:t>
            </w:r>
          </w:p>
        </w:tc>
        <w:tc>
          <w:tcPr>
            <w:tcW w:w="3120" w:type="dxa"/>
            <w:tcMar>
              <w:top w:w="43" w:type="dxa"/>
              <w:left w:w="432" w:type="dxa"/>
              <w:bottom w:w="43" w:type="dxa"/>
              <w:right w:w="115" w:type="dxa"/>
            </w:tcMar>
            <w:vAlign w:val="center"/>
          </w:tcPr>
          <w:p w14:paraId="1D677908" w14:textId="77777777" w:rsidR="00F3562B" w:rsidRPr="00EC5429" w:rsidRDefault="002B3C0C">
            <w:pPr>
              <w:rPr>
                <w:rFonts w:ascii="EUAlbertina-Regu" w:eastAsia="EUAlbertina-Regu" w:hAnsi="EUAlbertina-Regu" w:cs="EUAlbertina-Regu"/>
                <w:sz w:val="20"/>
                <w:szCs w:val="20"/>
              </w:rPr>
            </w:pPr>
            <w:r w:rsidRPr="00EC5429">
              <w:rPr>
                <w:rFonts w:ascii="EUAlbertina-Regu" w:eastAsia="EUAlbertina-Regu" w:hAnsi="EUAlbertina-Regu" w:cs="EUAlbertina-Regu"/>
                <w:sz w:val="20"/>
                <w:szCs w:val="20"/>
              </w:rPr>
              <w:t>5</w:t>
            </w:r>
          </w:p>
        </w:tc>
      </w:tr>
      <w:tr w:rsidR="00F3562B" w14:paraId="6CD8EBFF" w14:textId="77777777">
        <w:trPr>
          <w:trHeight w:val="300"/>
        </w:trPr>
        <w:tc>
          <w:tcPr>
            <w:tcW w:w="6240" w:type="dxa"/>
            <w:gridSpan w:val="2"/>
            <w:tcMar>
              <w:top w:w="43" w:type="dxa"/>
              <w:left w:w="115" w:type="dxa"/>
              <w:bottom w:w="43" w:type="dxa"/>
              <w:right w:w="115" w:type="dxa"/>
            </w:tcMar>
            <w:vAlign w:val="center"/>
          </w:tcPr>
          <w:p w14:paraId="406655B5" w14:textId="77777777" w:rsidR="00F3562B" w:rsidRDefault="002B3C0C">
            <w:pPr>
              <w:numPr>
                <w:ilvl w:val="1"/>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 xml:space="preserve">  Repair Information score (SRI) </w:t>
            </w:r>
            <w:r>
              <w:rPr>
                <w:rFonts w:ascii="EUAlbertina-Regu" w:eastAsia="EUAlbertina-Regu" w:hAnsi="EUAlbertina-Regu" w:cs="EUAlbertina-Regu"/>
                <w:color w:val="000000"/>
                <w:sz w:val="24"/>
                <w:szCs w:val="24"/>
                <w:vertAlign w:val="superscript"/>
              </w:rPr>
              <w:t>(b)</w:t>
            </w:r>
          </w:p>
        </w:tc>
        <w:tc>
          <w:tcPr>
            <w:tcW w:w="3120" w:type="dxa"/>
            <w:tcMar>
              <w:top w:w="43" w:type="dxa"/>
              <w:left w:w="432" w:type="dxa"/>
              <w:bottom w:w="43" w:type="dxa"/>
              <w:right w:w="115" w:type="dxa"/>
            </w:tcMar>
            <w:vAlign w:val="center"/>
          </w:tcPr>
          <w:p w14:paraId="30F2C76A" w14:textId="77777777" w:rsidR="00F3562B" w:rsidRPr="00EC5429" w:rsidRDefault="002B3C0C">
            <w:pPr>
              <w:rPr>
                <w:rFonts w:ascii="EUAlbertina-Regu" w:eastAsia="EUAlbertina-Regu" w:hAnsi="EUAlbertina-Regu" w:cs="EUAlbertina-Regu"/>
                <w:sz w:val="20"/>
                <w:szCs w:val="20"/>
              </w:rPr>
            </w:pPr>
            <w:r w:rsidRPr="00EC5429">
              <w:rPr>
                <w:rFonts w:ascii="EUAlbertina-Regu" w:eastAsia="EUAlbertina-Regu" w:hAnsi="EUAlbertina-Regu" w:cs="EUAlbertina-Regu"/>
                <w:sz w:val="20"/>
                <w:szCs w:val="20"/>
              </w:rPr>
              <w:t>5</w:t>
            </w:r>
          </w:p>
        </w:tc>
      </w:tr>
      <w:tr w:rsidR="00F3562B" w14:paraId="0AB76E34" w14:textId="77777777">
        <w:trPr>
          <w:trHeight w:val="300"/>
        </w:trPr>
        <w:tc>
          <w:tcPr>
            <w:tcW w:w="6240" w:type="dxa"/>
            <w:gridSpan w:val="2"/>
            <w:tcMar>
              <w:top w:w="43" w:type="dxa"/>
              <w:left w:w="115" w:type="dxa"/>
              <w:bottom w:w="43" w:type="dxa"/>
              <w:right w:w="115" w:type="dxa"/>
            </w:tcMar>
            <w:vAlign w:val="center"/>
          </w:tcPr>
          <w:p w14:paraId="58E28235" w14:textId="77777777" w:rsidR="00F3562B" w:rsidRDefault="002B3C0C">
            <w:pPr>
              <w:numPr>
                <w:ilvl w:val="0"/>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 xml:space="preserve">Weblink to information on spare parts availability for professional repairers and end users </w:t>
            </w:r>
            <w:r>
              <w:rPr>
                <w:rFonts w:ascii="EUAlbertina-Regu" w:eastAsia="EUAlbertina-Regu" w:hAnsi="EUAlbertina-Regu" w:cs="EUAlbertina-Regu"/>
                <w:color w:val="000000"/>
                <w:sz w:val="24"/>
                <w:szCs w:val="24"/>
                <w:vertAlign w:val="superscript"/>
              </w:rPr>
              <w:t>(a) (b) (d)</w:t>
            </w:r>
          </w:p>
        </w:tc>
        <w:tc>
          <w:tcPr>
            <w:tcW w:w="3120" w:type="dxa"/>
            <w:tcMar>
              <w:top w:w="43" w:type="dxa"/>
              <w:left w:w="432" w:type="dxa"/>
              <w:bottom w:w="43" w:type="dxa"/>
              <w:right w:w="115" w:type="dxa"/>
            </w:tcMar>
            <w:vAlign w:val="center"/>
          </w:tcPr>
          <w:p w14:paraId="04AA0CBD" w14:textId="6C844181" w:rsidR="00F3562B" w:rsidRDefault="003412EE">
            <w:pPr>
              <w:rPr>
                <w:sz w:val="20"/>
                <w:szCs w:val="20"/>
              </w:rPr>
            </w:pPr>
            <w:r w:rsidRPr="003412EE">
              <w:rPr>
                <w:rFonts w:asciiTheme="minorEastAsia" w:hAnsiTheme="minorEastAsia" w:cs="EuAlbertina"/>
                <w:sz w:val="20"/>
                <w:szCs w:val="20"/>
              </w:rPr>
              <w:t>https://www.replacebase.co.uk/genuine-motorola-parts</w:t>
            </w:r>
          </w:p>
        </w:tc>
      </w:tr>
      <w:tr w:rsidR="00F3562B" w14:paraId="6A44EEED" w14:textId="77777777">
        <w:trPr>
          <w:trHeight w:val="300"/>
        </w:trPr>
        <w:tc>
          <w:tcPr>
            <w:tcW w:w="6240" w:type="dxa"/>
            <w:gridSpan w:val="2"/>
            <w:tcMar>
              <w:top w:w="43" w:type="dxa"/>
              <w:left w:w="115" w:type="dxa"/>
              <w:bottom w:w="43" w:type="dxa"/>
              <w:right w:w="115" w:type="dxa"/>
            </w:tcMar>
            <w:vAlign w:val="center"/>
          </w:tcPr>
          <w:p w14:paraId="3A0B7591" w14:textId="77777777" w:rsidR="00F3562B" w:rsidRDefault="002B3C0C">
            <w:pPr>
              <w:numPr>
                <w:ilvl w:val="0"/>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 xml:space="preserve">Weblink to repair instructions for end-users </w:t>
            </w:r>
            <w:r>
              <w:rPr>
                <w:rFonts w:ascii="EUAlbertina-Regu" w:eastAsia="EUAlbertina-Regu" w:hAnsi="EUAlbertina-Regu" w:cs="EUAlbertina-Regu"/>
                <w:color w:val="000000"/>
                <w:sz w:val="24"/>
                <w:szCs w:val="24"/>
                <w:vertAlign w:val="superscript"/>
              </w:rPr>
              <w:t>(a) (b) (e)</w:t>
            </w:r>
          </w:p>
        </w:tc>
        <w:tc>
          <w:tcPr>
            <w:tcW w:w="3120" w:type="dxa"/>
            <w:tcMar>
              <w:top w:w="43" w:type="dxa"/>
              <w:left w:w="432" w:type="dxa"/>
              <w:bottom w:w="43" w:type="dxa"/>
              <w:right w:w="115" w:type="dxa"/>
            </w:tcMar>
            <w:vAlign w:val="center"/>
          </w:tcPr>
          <w:p w14:paraId="64AA09C0" w14:textId="0EAD12BD" w:rsidR="00F3562B" w:rsidRDefault="003412EE">
            <w:pPr>
              <w:rPr>
                <w:rFonts w:ascii="EuAlbertina" w:eastAsia="EuAlbertina" w:hAnsi="EuAlbertina" w:cs="EuAlbertina"/>
                <w:sz w:val="20"/>
                <w:szCs w:val="20"/>
              </w:rPr>
            </w:pPr>
            <w:r w:rsidRPr="003412EE">
              <w:rPr>
                <w:rFonts w:asciiTheme="minorEastAsia" w:hAnsiTheme="minorEastAsia" w:cs="EuAlbertina"/>
                <w:sz w:val="20"/>
                <w:szCs w:val="20"/>
              </w:rPr>
              <w:t>https://www.replacebase.co.uk/motorola-guide#link-to-guide</w:t>
            </w:r>
          </w:p>
        </w:tc>
      </w:tr>
      <w:tr w:rsidR="00F3562B" w14:paraId="7FB3E69A" w14:textId="77777777">
        <w:trPr>
          <w:trHeight w:val="300"/>
        </w:trPr>
        <w:tc>
          <w:tcPr>
            <w:tcW w:w="6240" w:type="dxa"/>
            <w:gridSpan w:val="2"/>
            <w:tcMar>
              <w:top w:w="43" w:type="dxa"/>
              <w:left w:w="115" w:type="dxa"/>
              <w:bottom w:w="43" w:type="dxa"/>
              <w:right w:w="115" w:type="dxa"/>
            </w:tcMar>
            <w:vAlign w:val="center"/>
          </w:tcPr>
          <w:p w14:paraId="718EF4AD" w14:textId="77777777" w:rsidR="00F3562B" w:rsidRDefault="002B3C0C">
            <w:pPr>
              <w:numPr>
                <w:ilvl w:val="0"/>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 xml:space="preserve">Weblink to indicative pre-tax prices </w:t>
            </w:r>
            <w:r>
              <w:rPr>
                <w:rFonts w:ascii="EUAlbertina-Regu" w:eastAsia="EUAlbertina-Regu" w:hAnsi="EUAlbertina-Regu" w:cs="EUAlbertina-Regu"/>
                <w:color w:val="000000"/>
                <w:sz w:val="24"/>
                <w:szCs w:val="24"/>
                <w:vertAlign w:val="superscript"/>
              </w:rPr>
              <w:t>(a) (b) (f)</w:t>
            </w:r>
          </w:p>
        </w:tc>
        <w:tc>
          <w:tcPr>
            <w:tcW w:w="3120" w:type="dxa"/>
            <w:tcMar>
              <w:top w:w="43" w:type="dxa"/>
              <w:left w:w="432" w:type="dxa"/>
              <w:bottom w:w="43" w:type="dxa"/>
              <w:right w:w="115" w:type="dxa"/>
            </w:tcMar>
            <w:vAlign w:val="center"/>
          </w:tcPr>
          <w:p w14:paraId="144D9759" w14:textId="64A8D2FD" w:rsidR="00F3562B" w:rsidRDefault="00FE7C21">
            <w:pPr>
              <w:rPr>
                <w:rFonts w:ascii="EuAlbertina" w:eastAsia="EuAlbertina" w:hAnsi="EuAlbertina" w:cs="EuAlbertina"/>
                <w:sz w:val="20"/>
                <w:szCs w:val="20"/>
              </w:rPr>
            </w:pPr>
            <w:r w:rsidRPr="00FE7C21">
              <w:rPr>
                <w:rFonts w:asciiTheme="minorEastAsia" w:hAnsiTheme="minorEastAsia" w:cs="EuAlbertina"/>
                <w:sz w:val="20"/>
                <w:szCs w:val="20"/>
              </w:rPr>
              <w:t>https://www.replacebase.co.uk/genuine-motorola-parts</w:t>
            </w:r>
          </w:p>
        </w:tc>
      </w:tr>
      <w:tr w:rsidR="00F3562B" w14:paraId="020AF3EE" w14:textId="77777777">
        <w:trPr>
          <w:trHeight w:val="300"/>
        </w:trPr>
        <w:tc>
          <w:tcPr>
            <w:tcW w:w="9360" w:type="dxa"/>
            <w:gridSpan w:val="3"/>
            <w:tcMar>
              <w:top w:w="43" w:type="dxa"/>
              <w:left w:w="115" w:type="dxa"/>
              <w:bottom w:w="43" w:type="dxa"/>
              <w:right w:w="115" w:type="dxa"/>
            </w:tcMar>
            <w:vAlign w:val="center"/>
          </w:tcPr>
          <w:p w14:paraId="33A2A7C5" w14:textId="77777777" w:rsidR="00F3562B" w:rsidRDefault="002B3C0C">
            <w:pPr>
              <w:rPr>
                <w:rFonts w:ascii="EuAlbertina" w:eastAsia="EuAlbertina" w:hAnsi="EuAlbertina" w:cs="EuAlbertina"/>
                <w:sz w:val="20"/>
                <w:szCs w:val="20"/>
              </w:rPr>
            </w:pPr>
            <w:r>
              <w:rPr>
                <w:rFonts w:ascii="EUAlbertina-Bold" w:eastAsia="EUAlbertina-Bold" w:hAnsi="EUAlbertina-Bold" w:cs="EUAlbertina-Bold"/>
                <w:b/>
                <w:color w:val="000000"/>
                <w:sz w:val="20"/>
                <w:szCs w:val="20"/>
              </w:rPr>
              <w:t>Additional information:</w:t>
            </w:r>
          </w:p>
        </w:tc>
      </w:tr>
      <w:tr w:rsidR="00F3562B" w14:paraId="16CFC9CF" w14:textId="77777777">
        <w:trPr>
          <w:trHeight w:val="300"/>
        </w:trPr>
        <w:tc>
          <w:tcPr>
            <w:tcW w:w="6240" w:type="dxa"/>
            <w:gridSpan w:val="2"/>
            <w:tcMar>
              <w:top w:w="43" w:type="dxa"/>
              <w:left w:w="115" w:type="dxa"/>
              <w:bottom w:w="43" w:type="dxa"/>
              <w:right w:w="115" w:type="dxa"/>
            </w:tcMar>
            <w:vAlign w:val="center"/>
          </w:tcPr>
          <w:p w14:paraId="793CB03F" w14:textId="77777777" w:rsidR="00F3562B" w:rsidRDefault="002B3C0C">
            <w:pPr>
              <w:numPr>
                <w:ilvl w:val="0"/>
                <w:numId w:val="1"/>
              </w:numPr>
              <w:pBdr>
                <w:top w:val="nil"/>
                <w:left w:val="nil"/>
                <w:bottom w:val="nil"/>
                <w:right w:val="nil"/>
                <w:between w:val="nil"/>
              </w:pBdr>
              <w:spacing w:after="160" w:line="259" w:lineRule="auto"/>
              <w:rPr>
                <w:color w:val="000000"/>
                <w:sz w:val="20"/>
                <w:szCs w:val="20"/>
              </w:rPr>
            </w:pPr>
            <w:r>
              <w:rPr>
                <w:rFonts w:ascii="EUAlbertina-Regu" w:eastAsia="EUAlbertina-Regu" w:hAnsi="EUAlbertina-Regu" w:cs="EUAlbertina-Regu"/>
                <w:color w:val="000000"/>
                <w:sz w:val="20"/>
                <w:szCs w:val="20"/>
              </w:rPr>
              <w:t xml:space="preserve">Minimum duration of the guarantee offered by the supplier </w:t>
            </w:r>
            <w:r>
              <w:rPr>
                <w:rFonts w:ascii="EUAlbertina-Regu" w:eastAsia="EUAlbertina-Regu" w:hAnsi="EUAlbertina-Regu" w:cs="EUAlbertina-Regu"/>
                <w:color w:val="000000"/>
                <w:sz w:val="24"/>
                <w:szCs w:val="24"/>
                <w:vertAlign w:val="superscript"/>
              </w:rPr>
              <w:t>(a) (b)</w:t>
            </w:r>
            <w:r>
              <w:rPr>
                <w:rFonts w:ascii="EUAlbertina-Regu" w:eastAsia="EUAlbertina-Regu" w:hAnsi="EUAlbertina-Regu" w:cs="EUAlbertina-Regu"/>
                <w:color w:val="000000"/>
                <w:sz w:val="24"/>
                <w:szCs w:val="24"/>
              </w:rPr>
              <w:t xml:space="preserve"> </w:t>
            </w:r>
            <w:r>
              <w:rPr>
                <w:rFonts w:ascii="EUAlbertina-Regu" w:eastAsia="EUAlbertina-Regu" w:hAnsi="EUAlbertina-Regu" w:cs="EUAlbertina-Regu"/>
                <w:color w:val="000000"/>
                <w:sz w:val="20"/>
                <w:szCs w:val="20"/>
              </w:rPr>
              <w:t>[months]</w:t>
            </w:r>
          </w:p>
        </w:tc>
        <w:tc>
          <w:tcPr>
            <w:tcW w:w="3120" w:type="dxa"/>
            <w:tcMar>
              <w:top w:w="43" w:type="dxa"/>
              <w:left w:w="432" w:type="dxa"/>
              <w:bottom w:w="43" w:type="dxa"/>
              <w:right w:w="115" w:type="dxa"/>
            </w:tcMar>
            <w:vAlign w:val="center"/>
          </w:tcPr>
          <w:p w14:paraId="28426956" w14:textId="77777777" w:rsidR="00F3562B" w:rsidRDefault="002B3C0C">
            <w:pPr>
              <w:rPr>
                <w:rFonts w:ascii="EuAlbertina" w:eastAsia="EuAlbertina" w:hAnsi="EuAlbertina" w:cs="EuAlbertina"/>
                <w:sz w:val="20"/>
                <w:szCs w:val="20"/>
              </w:rPr>
            </w:pPr>
            <w:r>
              <w:rPr>
                <w:rFonts w:ascii="EuAlbertina" w:eastAsia="EuAlbertina" w:hAnsi="EuAlbertina" w:cs="EuAlbertina"/>
                <w:sz w:val="20"/>
                <w:szCs w:val="20"/>
              </w:rPr>
              <w:t>24-36(Spain 36)</w:t>
            </w:r>
          </w:p>
        </w:tc>
      </w:tr>
      <w:tr w:rsidR="00F3562B" w14:paraId="57968C50" w14:textId="77777777">
        <w:trPr>
          <w:trHeight w:val="300"/>
        </w:trPr>
        <w:tc>
          <w:tcPr>
            <w:tcW w:w="6240" w:type="dxa"/>
            <w:gridSpan w:val="2"/>
            <w:tcMar>
              <w:top w:w="43" w:type="dxa"/>
              <w:left w:w="115" w:type="dxa"/>
              <w:bottom w:w="43" w:type="dxa"/>
              <w:right w:w="115" w:type="dxa"/>
            </w:tcMar>
            <w:vAlign w:val="center"/>
          </w:tcPr>
          <w:p w14:paraId="3C7DBB34" w14:textId="77777777" w:rsidR="00F3562B" w:rsidRDefault="002B3C0C">
            <w:pPr>
              <w:rPr>
                <w:b/>
                <w:sz w:val="20"/>
                <w:szCs w:val="20"/>
              </w:rPr>
            </w:pPr>
            <w:r>
              <w:rPr>
                <w:rFonts w:ascii="EUAlbertina-Regu" w:eastAsia="EUAlbertina-Regu" w:hAnsi="EUAlbertina-Regu" w:cs="EUAlbertina-Regu"/>
                <w:b/>
                <w:color w:val="000000"/>
                <w:sz w:val="20"/>
                <w:szCs w:val="20"/>
              </w:rPr>
              <w:t xml:space="preserve">Supplier’s address </w:t>
            </w:r>
            <w:r>
              <w:rPr>
                <w:rFonts w:ascii="EUAlbertina-Regu" w:eastAsia="EUAlbertina-Regu" w:hAnsi="EUAlbertina-Regu" w:cs="EUAlbertina-Regu"/>
                <w:b/>
                <w:color w:val="000000"/>
                <w:sz w:val="24"/>
                <w:szCs w:val="24"/>
                <w:vertAlign w:val="superscript"/>
              </w:rPr>
              <w:t>(a) (b) (g)</w:t>
            </w:r>
          </w:p>
        </w:tc>
        <w:tc>
          <w:tcPr>
            <w:tcW w:w="3120" w:type="dxa"/>
            <w:tcMar>
              <w:top w:w="43" w:type="dxa"/>
              <w:left w:w="115" w:type="dxa"/>
              <w:bottom w:w="43" w:type="dxa"/>
              <w:right w:w="115" w:type="dxa"/>
            </w:tcMar>
            <w:vAlign w:val="center"/>
          </w:tcPr>
          <w:p w14:paraId="3E838BCA" w14:textId="77777777" w:rsidR="00F3562B" w:rsidRDefault="00F3562B">
            <w:pPr>
              <w:rPr>
                <w:rFonts w:ascii="EuAlbertina" w:eastAsia="EuAlbertina" w:hAnsi="EuAlbertina" w:cs="EuAlbertina"/>
                <w:sz w:val="20"/>
                <w:szCs w:val="20"/>
              </w:rPr>
            </w:pPr>
          </w:p>
        </w:tc>
      </w:tr>
      <w:tr w:rsidR="00F3562B" w14:paraId="6839E677" w14:textId="77777777">
        <w:trPr>
          <w:trHeight w:val="300"/>
        </w:trPr>
        <w:tc>
          <w:tcPr>
            <w:tcW w:w="9360" w:type="dxa"/>
            <w:gridSpan w:val="3"/>
            <w:tcMar>
              <w:top w:w="43" w:type="dxa"/>
              <w:left w:w="115" w:type="dxa"/>
              <w:bottom w:w="43" w:type="dxa"/>
              <w:right w:w="115" w:type="dxa"/>
            </w:tcMar>
            <w:vAlign w:val="center"/>
          </w:tcPr>
          <w:p w14:paraId="4591C14A" w14:textId="77777777" w:rsidR="00F3562B" w:rsidRDefault="002B3C0C">
            <w:pPr>
              <w:spacing w:before="240" w:after="120"/>
              <w:ind w:left="288" w:hanging="288"/>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 xml:space="preserve">(a) Changes to these items shall not be considered relevant for the purposes of Article 4(4) of Regulation (EU) </w:t>
            </w:r>
            <w:r>
              <w:rPr>
                <w:rFonts w:ascii="EUAlbertina-Regu" w:eastAsia="EUAlbertina-Regu" w:hAnsi="EUAlbertina-Regu" w:cs="EUAlbertina-Regu"/>
                <w:color w:val="000000"/>
                <w:sz w:val="20"/>
                <w:szCs w:val="20"/>
              </w:rPr>
              <w:t>2017/1369.</w:t>
            </w:r>
          </w:p>
          <w:p w14:paraId="03B100C3" w14:textId="77777777" w:rsidR="00F3562B" w:rsidRDefault="002B3C0C">
            <w:pPr>
              <w:spacing w:after="120"/>
              <w:ind w:left="288" w:hanging="288"/>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(b) This item shall not be considered relevant for the purposes of Article 2(6) of Regulation (EU) 2017/1369.</w:t>
            </w:r>
          </w:p>
          <w:p w14:paraId="3876FA41" w14:textId="77777777" w:rsidR="00F3562B" w:rsidRDefault="002B3C0C">
            <w:pPr>
              <w:spacing w:after="120"/>
              <w:ind w:left="288" w:hanging="288"/>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(c) The process for battery replacement meets the following criteria:</w:t>
            </w:r>
          </w:p>
          <w:p w14:paraId="476B590B" w14:textId="77777777" w:rsidR="00F3562B" w:rsidRDefault="002B3C0C">
            <w:pPr>
              <w:ind w:left="576" w:hanging="288"/>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 fasteners shall be resupplied or reusable.</w:t>
            </w:r>
          </w:p>
          <w:p w14:paraId="7C43D522" w14:textId="77777777" w:rsidR="00F3562B" w:rsidRDefault="002B3C0C">
            <w:pPr>
              <w:ind w:left="576" w:hanging="288"/>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 xml:space="preserve">— the process for </w:t>
            </w:r>
            <w:r>
              <w:rPr>
                <w:rFonts w:ascii="EUAlbertina-Regu" w:eastAsia="EUAlbertina-Regu" w:hAnsi="EUAlbertina-Regu" w:cs="EUAlbertina-Regu"/>
                <w:color w:val="000000"/>
                <w:sz w:val="20"/>
                <w:szCs w:val="20"/>
              </w:rPr>
              <w:t>replacement shall be feasible with no tool, a tool or set of tools that is supplied with the product or spare part, or basic tools.</w:t>
            </w:r>
          </w:p>
          <w:p w14:paraId="515466E5" w14:textId="77777777" w:rsidR="00F3562B" w:rsidRDefault="002B3C0C">
            <w:pPr>
              <w:ind w:left="576" w:hanging="288"/>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 the process for replacement shall be able to be carried out in a use environment.</w:t>
            </w:r>
          </w:p>
          <w:p w14:paraId="2DFC4E9C" w14:textId="77777777" w:rsidR="00F3562B" w:rsidRDefault="002B3C0C">
            <w:pPr>
              <w:spacing w:after="120"/>
              <w:ind w:left="576" w:hanging="288"/>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 the process for replacement shall be able to be carried out by a layman.</w:t>
            </w:r>
          </w:p>
          <w:p w14:paraId="43609455" w14:textId="77777777" w:rsidR="00F3562B" w:rsidRDefault="002B3C0C">
            <w:pPr>
              <w:spacing w:after="120"/>
              <w:ind w:left="288" w:hanging="288"/>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(d) The suppliers’ obligation is to include the weblink to the website where the relevant information will be available. Effective access to the website is nevertheless to be granted in accordance to the timeline and provisions laid down in Annex II, point B 1.1 (1) d of Regulation (EU) 2023/1670, for smartphones, and in Annex II, point D 1.1 (1) d of Regulation (EU) 2023/1670, for slate tablets.</w:t>
            </w:r>
          </w:p>
          <w:p w14:paraId="6B275CAA" w14:textId="77777777" w:rsidR="00F3562B" w:rsidRDefault="002B3C0C">
            <w:pPr>
              <w:spacing w:after="120"/>
              <w:ind w:left="288" w:hanging="288"/>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(e) The suppliers’ obligation is to include the weblink to the website where the relevant information will be available. Effective access to the website is nevertheless to be granted in accordance with the timeline and provisions laid down in the last paragraph of Annex II, point B 1.1 (2) of Regulation (EU) 2023/1670, for smartphones, and in the last paragraph of Annex II, point D 1.1 (2) of Regulation (EU) 2023/1670, for slate tablets.</w:t>
            </w:r>
          </w:p>
          <w:p w14:paraId="601AD327" w14:textId="77777777" w:rsidR="00F3562B" w:rsidRDefault="002B3C0C">
            <w:pPr>
              <w:spacing w:after="120"/>
              <w:ind w:left="288" w:hanging="288"/>
              <w:rPr>
                <w:rFonts w:ascii="EUAlbertina-Regu" w:eastAsia="EUAlbertina-Regu" w:hAnsi="EUAlbertina-Regu" w:cs="EUAlbertina-Regu"/>
                <w:color w:val="000000"/>
                <w:sz w:val="20"/>
                <w:szCs w:val="20"/>
              </w:rPr>
            </w:pPr>
            <w:r>
              <w:rPr>
                <w:rFonts w:ascii="EUAlbertina-Regu" w:eastAsia="EUAlbertina-Regu" w:hAnsi="EUAlbertina-Regu" w:cs="EUAlbertina-Regu"/>
                <w:color w:val="000000"/>
                <w:sz w:val="20"/>
                <w:szCs w:val="20"/>
              </w:rPr>
              <w:t>(f) The suppliers’ obligation is to include the weblink to the website where the relevant information will be available. Effective access to the website is nevertheless to be granted in accordance with the timeline and provisions laid down in Annex II, point B 1.1 (4) of Regulation (EU) 2023/1670, for smartphones, and in Annex II, point D 1.1 (4) of Regulation (EU) 2023/1670, for slate tablets.</w:t>
            </w:r>
          </w:p>
          <w:p w14:paraId="00236081" w14:textId="77777777" w:rsidR="00F3562B" w:rsidRDefault="002B3C0C">
            <w:pPr>
              <w:spacing w:after="120"/>
              <w:ind w:left="288" w:hanging="288"/>
              <w:rPr>
                <w:rFonts w:ascii="EuAlbertina" w:eastAsia="EuAlbertina" w:hAnsi="EuAlbertina" w:cs="EuAlbertina"/>
                <w:sz w:val="20"/>
                <w:szCs w:val="20"/>
              </w:rPr>
            </w:pPr>
            <w:r>
              <w:rPr>
                <w:rFonts w:ascii="EUAlbertina-Regu" w:eastAsia="EUAlbertina-Regu" w:hAnsi="EUAlbertina-Regu" w:cs="EUAlbertina-Regu"/>
                <w:color w:val="000000"/>
                <w:sz w:val="20"/>
                <w:szCs w:val="20"/>
              </w:rPr>
              <w:t>(g) The supplier shall not enter these data for each model if automatically provided by the database.</w:t>
            </w:r>
          </w:p>
        </w:tc>
      </w:tr>
    </w:tbl>
    <w:p w14:paraId="104B4684" w14:textId="77777777" w:rsidR="00F3562B" w:rsidRDefault="002B3C0C">
      <w:pPr>
        <w:spacing w:before="240"/>
        <w:jc w:val="both"/>
      </w:pPr>
      <w:r>
        <w:rPr>
          <w:rFonts w:eastAsia="Calibri"/>
        </w:rPr>
        <w:t xml:space="preserve">[1] reference </w:t>
      </w:r>
      <w:hyperlink r:id="rId10" w:anchor=":~:text=The%20EPREL%20database%20generates%20all,can%20be%20viewed%20and%20downloaded.">
        <w:r w:rsidR="00F3562B">
          <w:rPr>
            <w:rFonts w:eastAsia="Calibri"/>
            <w:color w:val="0563C1"/>
            <w:u w:val="single"/>
          </w:rPr>
          <w:t>European Product Registry for Energy Labelling (EPREL)</w:t>
        </w:r>
      </w:hyperlink>
    </w:p>
    <w:sectPr w:rsidR="00F3562B">
      <w:headerReference w:type="default" r:id="rId11"/>
      <w:footerReference w:type="even" r:id="rId12"/>
      <w:footerReference w:type="default" r:id="rId13"/>
      <w:footerReference w:type="first" r:id="rId14"/>
      <w:pgSz w:w="12240" w:h="15840"/>
      <w:pgMar w:top="1440" w:right="1440" w:bottom="1170" w:left="144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75DA" w14:textId="77777777" w:rsidR="002A480B" w:rsidRDefault="002A480B">
      <w:pPr>
        <w:spacing w:after="0" w:line="240" w:lineRule="auto"/>
      </w:pPr>
      <w:r>
        <w:separator/>
      </w:r>
    </w:p>
  </w:endnote>
  <w:endnote w:type="continuationSeparator" w:id="0">
    <w:p w14:paraId="38220E3A" w14:textId="77777777" w:rsidR="002A480B" w:rsidRDefault="002A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
    <w:altName w:val="Calibri"/>
    <w:charset w:val="00"/>
    <w:family w:val="auto"/>
    <w:pitch w:val="default"/>
  </w:font>
  <w:font w:name="EUAlbertina-Regu">
    <w:altName w:val="Calibri"/>
    <w:charset w:val="00"/>
    <w:family w:val="auto"/>
    <w:pitch w:val="default"/>
  </w:font>
  <w:font w:name="EUAlbertina-Bol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EFEF" w14:textId="3E6449DB" w:rsidR="002B3C0C" w:rsidRDefault="002B3C0C">
    <w:pPr>
      <w:pStyle w:val="Footer"/>
    </w:pPr>
    <w:r>
      <w:rPr>
        <w:noProof/>
      </w:rPr>
      <mc:AlternateContent>
        <mc:Choice Requires="wps">
          <w:drawing>
            <wp:anchor distT="0" distB="0" distL="0" distR="0" simplePos="0" relativeHeight="251659264" behindDoc="0" locked="0" layoutInCell="1" allowOverlap="1" wp14:anchorId="28723C9D" wp14:editId="0F0E4530">
              <wp:simplePos x="635" y="635"/>
              <wp:positionH relativeFrom="page">
                <wp:align>left</wp:align>
              </wp:positionH>
              <wp:positionV relativeFrom="page">
                <wp:align>bottom</wp:align>
              </wp:positionV>
              <wp:extent cx="654050" cy="304800"/>
              <wp:effectExtent l="0" t="0" r="12700" b="0"/>
              <wp:wrapNone/>
              <wp:docPr id="89502270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4050" cy="304800"/>
                      </a:xfrm>
                      <a:prstGeom prst="rect">
                        <a:avLst/>
                      </a:prstGeom>
                      <a:noFill/>
                      <a:ln>
                        <a:noFill/>
                      </a:ln>
                    </wps:spPr>
                    <wps:txbx>
                      <w:txbxContent>
                        <w:p w14:paraId="1BE0EEA5" w14:textId="1F2FFD1F" w:rsidR="002B3C0C" w:rsidRPr="002B3C0C" w:rsidRDefault="002B3C0C" w:rsidP="002B3C0C">
                          <w:pPr>
                            <w:spacing w:after="0"/>
                            <w:rPr>
                              <w:rFonts w:eastAsia="Calibri"/>
                              <w:noProof/>
                              <w:color w:val="000000"/>
                              <w:sz w:val="14"/>
                              <w:szCs w:val="14"/>
                            </w:rPr>
                          </w:pPr>
                          <w:r w:rsidRPr="002B3C0C">
                            <w:rPr>
                              <w:rFonts w:eastAsia="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723C9D" id="_x0000_t202" coordsize="21600,21600" o:spt="202" path="m,l,21600r21600,l21600,xe">
              <v:stroke joinstyle="miter"/>
              <v:path gradientshapeok="t" o:connecttype="rect"/>
            </v:shapetype>
            <v:shape id="Text Box 2" o:spid="_x0000_s1026" type="#_x0000_t202" alt="C2 General" style="position:absolute;margin-left:0;margin-top:0;width:51.5pt;height:2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" filled="f" stroked="f">
              <v:fill o:detectmouseclick="t"/>
              <v:textbox style="mso-fit-shape-to-text:t" inset="20pt,0,0,15pt">
                <w:txbxContent>
                  <w:p w14:paraId="1BE0EEA5" w14:textId="1F2FFD1F" w:rsidR="002B3C0C" w:rsidRPr="002B3C0C" w:rsidRDefault="002B3C0C" w:rsidP="002B3C0C">
                    <w:pPr>
                      <w:spacing w:after="0"/>
                      <w:rPr>
                        <w:rFonts w:eastAsia="Calibri"/>
                        <w:noProof/>
                        <w:color w:val="000000"/>
                        <w:sz w:val="14"/>
                        <w:szCs w:val="14"/>
                      </w:rPr>
                    </w:pPr>
                    <w:r w:rsidRPr="002B3C0C">
                      <w:rPr>
                        <w:rFonts w:eastAsia="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B48A" w14:textId="3C38BA3D" w:rsidR="00F3562B" w:rsidRDefault="002B3C0C">
    <w:pPr>
      <w:widowControl w:val="0"/>
      <w:pBdr>
        <w:top w:val="nil"/>
        <w:left w:val="nil"/>
        <w:bottom w:val="nil"/>
        <w:right w:val="nil"/>
        <w:between w:val="nil"/>
      </w:pBdr>
      <w:spacing w:after="0" w:line="276" w:lineRule="auto"/>
      <w:rPr>
        <w:color w:val="000000"/>
        <w:sz w:val="18"/>
        <w:szCs w:val="18"/>
      </w:rPr>
    </w:pPr>
    <w:r>
      <w:rPr>
        <w:noProof/>
        <w:color w:val="000000"/>
        <w:sz w:val="18"/>
        <w:szCs w:val="18"/>
      </w:rPr>
      <mc:AlternateContent>
        <mc:Choice Requires="wps">
          <w:drawing>
            <wp:anchor distT="0" distB="0" distL="0" distR="0" simplePos="0" relativeHeight="251660288" behindDoc="0" locked="0" layoutInCell="1" allowOverlap="1" wp14:anchorId="674D959E" wp14:editId="0BE2BEDD">
              <wp:simplePos x="635" y="635"/>
              <wp:positionH relativeFrom="page">
                <wp:align>left</wp:align>
              </wp:positionH>
              <wp:positionV relativeFrom="page">
                <wp:align>bottom</wp:align>
              </wp:positionV>
              <wp:extent cx="654050" cy="304800"/>
              <wp:effectExtent l="0" t="0" r="12700" b="0"/>
              <wp:wrapNone/>
              <wp:docPr id="676002717"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4050" cy="304800"/>
                      </a:xfrm>
                      <a:prstGeom prst="rect">
                        <a:avLst/>
                      </a:prstGeom>
                      <a:noFill/>
                      <a:ln>
                        <a:noFill/>
                      </a:ln>
                    </wps:spPr>
                    <wps:txbx>
                      <w:txbxContent>
                        <w:p w14:paraId="1A8C8ACF" w14:textId="1CB5F773" w:rsidR="002B3C0C" w:rsidRPr="002B3C0C" w:rsidRDefault="002B3C0C" w:rsidP="002B3C0C">
                          <w:pPr>
                            <w:spacing w:after="0"/>
                            <w:rPr>
                              <w:rFonts w:eastAsia="Calibri"/>
                              <w:noProof/>
                              <w:color w:val="000000"/>
                              <w:sz w:val="14"/>
                              <w:szCs w:val="14"/>
                            </w:rPr>
                          </w:pPr>
                          <w:r w:rsidRPr="002B3C0C">
                            <w:rPr>
                              <w:rFonts w:eastAsia="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D959E" id="_x0000_t202" coordsize="21600,21600" o:spt="202" path="m,l,21600r21600,l21600,xe">
              <v:stroke joinstyle="miter"/>
              <v:path gradientshapeok="t" o:connecttype="rect"/>
            </v:shapetype>
            <v:shape id="Text Box 3" o:spid="_x0000_s1027" type="#_x0000_t202" alt="C2 General" style="position:absolute;margin-left:0;margin-top:0;width:51.5pt;height:2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" filled="f" stroked="f">
              <v:fill o:detectmouseclick="t"/>
              <v:textbox style="mso-fit-shape-to-text:t" inset="20pt,0,0,15pt">
                <w:txbxContent>
                  <w:p w14:paraId="1A8C8ACF" w14:textId="1CB5F773" w:rsidR="002B3C0C" w:rsidRPr="002B3C0C" w:rsidRDefault="002B3C0C" w:rsidP="002B3C0C">
                    <w:pPr>
                      <w:spacing w:after="0"/>
                      <w:rPr>
                        <w:rFonts w:eastAsia="Calibri"/>
                        <w:noProof/>
                        <w:color w:val="000000"/>
                        <w:sz w:val="14"/>
                        <w:szCs w:val="14"/>
                      </w:rPr>
                    </w:pPr>
                    <w:r w:rsidRPr="002B3C0C">
                      <w:rPr>
                        <w:rFonts w:eastAsia="Calibri"/>
                        <w:noProof/>
                        <w:color w:val="000000"/>
                        <w:sz w:val="14"/>
                        <w:szCs w:val="14"/>
                      </w:rPr>
                      <w:t>C2 General</w:t>
                    </w:r>
                  </w:p>
                </w:txbxContent>
              </v:textbox>
              <w10:wrap anchorx="page" anchory="page"/>
            </v:shape>
          </w:pict>
        </mc:Fallback>
      </mc:AlternateContent>
    </w:r>
  </w:p>
  <w:tbl>
    <w:tblPr>
      <w:tblStyle w:val="a0"/>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F3562B" w14:paraId="1E3A1A77" w14:textId="77777777">
      <w:tc>
        <w:tcPr>
          <w:tcW w:w="4675" w:type="dxa"/>
        </w:tcPr>
        <w:p w14:paraId="6E4EDCD5" w14:textId="77777777" w:rsidR="00F3562B" w:rsidRDefault="002B3C0C">
          <w:pPr>
            <w:pBdr>
              <w:top w:val="nil"/>
              <w:left w:val="nil"/>
              <w:bottom w:val="nil"/>
              <w:right w:val="nil"/>
              <w:between w:val="nil"/>
            </w:pBdr>
            <w:tabs>
              <w:tab w:val="center" w:pos="4680"/>
              <w:tab w:val="right" w:pos="9360"/>
            </w:tabs>
            <w:rPr>
              <w:color w:val="000000"/>
            </w:rPr>
          </w:pPr>
          <w:r>
            <w:rPr>
              <w:rFonts w:eastAsia="Calibri"/>
              <w:color w:val="000000"/>
            </w:rPr>
            <w:t xml:space="preserve">Form LOTX Product </w:t>
          </w:r>
          <w:r>
            <w:rPr>
              <w:rFonts w:eastAsia="Calibri"/>
              <w:color w:val="000000"/>
            </w:rPr>
            <w:t>Information Sheet table 8</w:t>
          </w:r>
        </w:p>
      </w:tc>
      <w:tc>
        <w:tcPr>
          <w:tcW w:w="4675" w:type="dxa"/>
        </w:tcPr>
        <w:p w14:paraId="627ADB40" w14:textId="77777777" w:rsidR="00F3562B" w:rsidRDefault="002B3C0C">
          <w:pPr>
            <w:pBdr>
              <w:top w:val="nil"/>
              <w:left w:val="nil"/>
              <w:bottom w:val="nil"/>
              <w:right w:val="nil"/>
              <w:between w:val="nil"/>
            </w:pBdr>
            <w:tabs>
              <w:tab w:val="center" w:pos="4680"/>
              <w:tab w:val="right" w:pos="9360"/>
            </w:tabs>
            <w:jc w:val="right"/>
            <w:rPr>
              <w:color w:val="000000"/>
            </w:rPr>
          </w:pPr>
          <w:r>
            <w:rPr>
              <w:rFonts w:eastAsia="Calibri"/>
              <w:color w:val="000000"/>
            </w:rPr>
            <w:t>Motorola Mobility LLC (a Lenovo Company)</w:t>
          </w:r>
        </w:p>
      </w:tc>
    </w:tr>
  </w:tbl>
  <w:p w14:paraId="36161681" w14:textId="77777777" w:rsidR="00F3562B" w:rsidRDefault="00F3562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26C3" w14:textId="590508AE" w:rsidR="002B3C0C" w:rsidRDefault="002B3C0C">
    <w:pPr>
      <w:pStyle w:val="Footer"/>
    </w:pPr>
    <w:r>
      <w:rPr>
        <w:noProof/>
      </w:rPr>
      <mc:AlternateContent>
        <mc:Choice Requires="wps">
          <w:drawing>
            <wp:anchor distT="0" distB="0" distL="0" distR="0" simplePos="0" relativeHeight="251658240" behindDoc="0" locked="0" layoutInCell="1" allowOverlap="1" wp14:anchorId="312AD4AD" wp14:editId="084F6F83">
              <wp:simplePos x="635" y="635"/>
              <wp:positionH relativeFrom="page">
                <wp:align>left</wp:align>
              </wp:positionH>
              <wp:positionV relativeFrom="page">
                <wp:align>bottom</wp:align>
              </wp:positionV>
              <wp:extent cx="654050" cy="304800"/>
              <wp:effectExtent l="0" t="0" r="12700" b="0"/>
              <wp:wrapNone/>
              <wp:docPr id="1633265853"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4050" cy="304800"/>
                      </a:xfrm>
                      <a:prstGeom prst="rect">
                        <a:avLst/>
                      </a:prstGeom>
                      <a:noFill/>
                      <a:ln>
                        <a:noFill/>
                      </a:ln>
                    </wps:spPr>
                    <wps:txbx>
                      <w:txbxContent>
                        <w:p w14:paraId="67AEFBD7" w14:textId="3F004477" w:rsidR="002B3C0C" w:rsidRPr="002B3C0C" w:rsidRDefault="002B3C0C" w:rsidP="002B3C0C">
                          <w:pPr>
                            <w:spacing w:after="0"/>
                            <w:rPr>
                              <w:rFonts w:eastAsia="Calibri"/>
                              <w:noProof/>
                              <w:color w:val="000000"/>
                              <w:sz w:val="14"/>
                              <w:szCs w:val="14"/>
                            </w:rPr>
                          </w:pPr>
                          <w:r w:rsidRPr="002B3C0C">
                            <w:rPr>
                              <w:rFonts w:eastAsia="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2AD4AD" id="_x0000_t202" coordsize="21600,21600" o:spt="202" path="m,l,21600r21600,l21600,xe">
              <v:stroke joinstyle="miter"/>
              <v:path gradientshapeok="t" o:connecttype="rect"/>
            </v:shapetype>
            <v:shape id="Text Box 1" o:spid="_x0000_s1028" type="#_x0000_t202" alt="C2 General" style="position:absolute;margin-left:0;margin-top:0;width:51.5pt;height:2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" filled="f" stroked="f">
              <v:fill o:detectmouseclick="t"/>
              <v:textbox style="mso-fit-shape-to-text:t" inset="20pt,0,0,15pt">
                <w:txbxContent>
                  <w:p w14:paraId="67AEFBD7" w14:textId="3F004477" w:rsidR="002B3C0C" w:rsidRPr="002B3C0C" w:rsidRDefault="002B3C0C" w:rsidP="002B3C0C">
                    <w:pPr>
                      <w:spacing w:after="0"/>
                      <w:rPr>
                        <w:rFonts w:eastAsia="Calibri"/>
                        <w:noProof/>
                        <w:color w:val="000000"/>
                        <w:sz w:val="14"/>
                        <w:szCs w:val="14"/>
                      </w:rPr>
                    </w:pPr>
                    <w:r w:rsidRPr="002B3C0C">
                      <w:rPr>
                        <w:rFonts w:eastAsia="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DCF8" w14:textId="77777777" w:rsidR="002A480B" w:rsidRDefault="002A480B">
      <w:pPr>
        <w:spacing w:after="0" w:line="240" w:lineRule="auto"/>
      </w:pPr>
      <w:r>
        <w:separator/>
      </w:r>
    </w:p>
  </w:footnote>
  <w:footnote w:type="continuationSeparator" w:id="0">
    <w:p w14:paraId="3CAA9277" w14:textId="77777777" w:rsidR="002A480B" w:rsidRDefault="002A4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F12F" w14:textId="77777777" w:rsidR="00F3562B" w:rsidRDefault="002B3C0C">
    <w:pPr>
      <w:pBdr>
        <w:top w:val="nil"/>
        <w:left w:val="nil"/>
        <w:bottom w:val="nil"/>
        <w:right w:val="nil"/>
        <w:between w:val="nil"/>
      </w:pBdr>
      <w:tabs>
        <w:tab w:val="center" w:pos="4680"/>
        <w:tab w:val="right" w:pos="9360"/>
      </w:tabs>
      <w:spacing w:after="0" w:line="240" w:lineRule="auto"/>
      <w:jc w:val="center"/>
      <w:rPr>
        <w:color w:val="000000"/>
        <w:sz w:val="18"/>
        <w:szCs w:val="18"/>
      </w:rPr>
    </w:pPr>
    <w:r>
      <w:rPr>
        <w:rFonts w:ascii="EUAlbertina-Bold" w:eastAsia="EUAlbertina-Bold" w:hAnsi="EUAlbertina-Bold" w:cs="EUAlbertina-Bold"/>
        <w:b/>
        <w:color w:val="000000"/>
        <w:sz w:val="16"/>
        <w:szCs w:val="16"/>
      </w:rPr>
      <w:t>COMMISSION DELEGATED REGULATION (EU) 2023/1669</w:t>
    </w:r>
    <w:r>
      <w:rPr>
        <w:rFonts w:ascii="EUAlbertina-Bold" w:eastAsia="EUAlbertina-Bold" w:hAnsi="EUAlbertina-Bold" w:cs="EUAlbertina-Bold"/>
        <w:b/>
        <w:color w:val="000000"/>
        <w:sz w:val="16"/>
        <w:szCs w:val="16"/>
      </w:rPr>
      <w:br/>
      <w:t>of 16 June 2023</w:t>
    </w:r>
    <w:r>
      <w:rPr>
        <w:rFonts w:ascii="EUAlbertina-Bold" w:eastAsia="EUAlbertina-Bold" w:hAnsi="EUAlbertina-Bold" w:cs="EUAlbertina-Bold"/>
        <w:b/>
        <w:color w:val="000000"/>
        <w:sz w:val="16"/>
        <w:szCs w:val="16"/>
      </w:rPr>
      <w:br/>
      <w:t>supplementing Regulation (EU) 2017/1369 of the European Parliament and of the Council with</w:t>
    </w:r>
    <w:r>
      <w:rPr>
        <w:rFonts w:ascii="EUAlbertina-Bold" w:eastAsia="EUAlbertina-Bold" w:hAnsi="EUAlbertina-Bold" w:cs="EUAlbertina-Bold"/>
        <w:b/>
        <w:color w:val="000000"/>
        <w:sz w:val="16"/>
        <w:szCs w:val="16"/>
      </w:rPr>
      <w:br/>
      <w:t>regard to the energy labelling of smartphones and slate tablets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612B3"/>
    <w:multiLevelType w:val="multilevel"/>
    <w:tmpl w:val="2AA8E048"/>
    <w:lvl w:ilvl="0">
      <w:start w:val="1"/>
      <w:numFmt w:val="decimal"/>
      <w:lvlText w:val="%1."/>
      <w:lvlJc w:val="left"/>
      <w:pPr>
        <w:ind w:left="720" w:hanging="360"/>
      </w:pPr>
    </w:lvl>
    <w:lvl w:ilvl="1">
      <w:start w:val="1"/>
      <w:numFmt w:val="lowerLetter"/>
      <w:lvlText w:val="2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578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2B"/>
    <w:rsid w:val="001F745B"/>
    <w:rsid w:val="002A480B"/>
    <w:rsid w:val="002B3C0C"/>
    <w:rsid w:val="002E0412"/>
    <w:rsid w:val="003412EE"/>
    <w:rsid w:val="00860330"/>
    <w:rsid w:val="009C5EAA"/>
    <w:rsid w:val="00A40AED"/>
    <w:rsid w:val="00D75902"/>
    <w:rsid w:val="00E10F2B"/>
    <w:rsid w:val="00EC5429"/>
    <w:rsid w:val="00F20E7F"/>
    <w:rsid w:val="00F3562B"/>
    <w:rsid w:val="00FE7C21"/>
    <w:rsid w:val="49C5B8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ED70"/>
  <w15:docId w15:val="{05EB3FD0-7C38-41F2-B103-3A64E47E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Footer">
    <w:name w:val="footer"/>
    <w:basedOn w:val="Normal"/>
    <w:link w:val="FooterChar"/>
    <w:uiPriority w:val="99"/>
    <w:unhideWhenUsed/>
    <w:rsid w:val="002B3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mmission.europa.eu/energy-climate-change-environment/standards-tools-and-labels/products-labelling-rules-and-requirements/energy-label-and-ecodesign/product-database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fc4722-0c98-4f84-9619-29632ea963f9">
      <Terms xmlns="http://schemas.microsoft.com/office/infopath/2007/PartnerControls"/>
    </lcf76f155ced4ddcb4097134ff3c332f>
    <TaxCatchAll xmlns="42667036-e439-47c6-82c4-67fbe450f3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A333DA7888334F96788AB8E391D84B" ma:contentTypeVersion="10" ma:contentTypeDescription="Create a new document." ma:contentTypeScope="" ma:versionID="40f84f91457078e84f7114ea510bc90e">
  <xsd:schema xmlns:xsd="http://www.w3.org/2001/XMLSchema" xmlns:xs="http://www.w3.org/2001/XMLSchema" xmlns:p="http://schemas.microsoft.com/office/2006/metadata/properties" xmlns:ns2="4bfc4722-0c98-4f84-9619-29632ea963f9" xmlns:ns3="42667036-e439-47c6-82c4-67fbe450f323" targetNamespace="http://schemas.microsoft.com/office/2006/metadata/properties" ma:root="true" ma:fieldsID="f69578728999ef134d403b7cad43ac4c" ns2:_="" ns3:_="">
    <xsd:import namespace="4bfc4722-0c98-4f84-9619-29632ea963f9"/>
    <xsd:import namespace="42667036-e439-47c6-82c4-67fbe450f3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c4722-0c98-4f84-9619-29632ea96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40db7b-894d-4be5-b4f9-3216f8c45b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67036-e439-47c6-82c4-67fbe450f3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d7400e-d59a-43e6-9743-a54d5c655c41}" ma:internalName="TaxCatchAll" ma:showField="CatchAllData" ma:web="42667036-e439-47c6-82c4-67fbe450f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3A6FB-BD6D-4B00-8063-E331555D43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466EFD-5674-451C-8442-7751C5E9E01B}">
  <ds:schemaRefs>
    <ds:schemaRef ds:uri="http://schemas.microsoft.com/sharepoint/v3/contenttype/forms"/>
  </ds:schemaRefs>
</ds:datastoreItem>
</file>

<file path=customXml/itemProps3.xml><?xml version="1.0" encoding="utf-8"?>
<ds:datastoreItem xmlns:ds="http://schemas.openxmlformats.org/officeDocument/2006/customXml" ds:itemID="{CC8D63C5-CDBF-4B50-B6EB-77EC4C7368CC}"/>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Anusha K, VodafoneThree (External)</cp:lastModifiedBy>
  <cp:revision>6</cp:revision>
  <dcterms:created xsi:type="dcterms:W3CDTF">2025-06-11T09:39:00Z</dcterms:created>
  <dcterms:modified xsi:type="dcterms:W3CDTF">2025-06-11T09:39:00Z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0x0101000BA333DA7888334F96788AB8E391D84B</vt:lpwstr>
  </property>
  <property fmtid="{D5CDD505-2E9C-101B-9397-08002B2CF9AE}" pid="3" name="MediaServiceImageTags">
    <vt:lpwstr>MediaServiceImageTags</vt:lpwstr>
  </property>
  <property fmtid="{D5CDD505-2E9C-101B-9397-08002B2CF9AE}" pid="4" name="Order">
    <vt:r8>723300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ClassificationContentMarkingFooterShapeIds">
    <vt:lpwstr>6159a8bd,3558f66f,284afb9d</vt:lpwstr>
  </property>
  <property fmtid="{D5CDD505-2E9C-101B-9397-08002B2CF9AE}" pid="14" name="ClassificationContentMarkingFooterFontProps">
    <vt:lpwstr>#000000,7,Calibri</vt:lpwstr>
  </property>
  <property fmtid="{D5CDD505-2E9C-101B-9397-08002B2CF9AE}" pid="15" name="ClassificationContentMarkingFooterText">
    <vt:lpwstr>C2 General</vt:lpwstr>
  </property>
  <property fmtid="{D5CDD505-2E9C-101B-9397-08002B2CF9AE}" pid="16" name="MSIP_Label_0359f705-2ba0-454b-9cfc-6ce5bcaac040_Enabled">
    <vt:lpwstr>true</vt:lpwstr>
  </property>
  <property fmtid="{D5CDD505-2E9C-101B-9397-08002B2CF9AE}" pid="17" name="MSIP_Label_0359f705-2ba0-454b-9cfc-6ce5bcaac040_SetDate">
    <vt:lpwstr>2025-06-11T09:39:33Z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d42687e5-0d2d-407c-92e8-5384000b7d6e</vt:lpwstr>
  </property>
  <property fmtid="{D5CDD505-2E9C-101B-9397-08002B2CF9AE}" pid="22" name="MSIP_Label_0359f705-2ba0-454b-9cfc-6ce5bcaac040_ContentBits">
    <vt:lpwstr>2</vt:lpwstr>
  </property>
  <property fmtid="{D5CDD505-2E9C-101B-9397-08002B2CF9AE}" pid="23" name="MSIP_Label_0359f705-2ba0-454b-9cfc-6ce5bcaac040_Tag">
    <vt:lpwstr>10, 3, 0, 2</vt:lpwstr>
  </property>
</Properties>
</file>